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ntTable.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s/font9.odttf" ContentType="application/vnd.openxmlformats-officedocument.obfuscatedFont"/>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both"/>
        <w:rPr>
          <w:rFonts w:ascii="Garamond" w:hAnsi="Garamond" w:eastAsia="Garamond" w:cs="Garamond"/>
          <w:b/>
          <w:b/>
          <w:bCs/>
        </w:rPr>
      </w:pPr>
      <w:r>
        <w:rPr>
          <w:rFonts w:eastAsia="Garamond" w:cs="Garamond" w:ascii="Garamond" w:hAnsi="Garamond"/>
          <w:b/>
          <w:bCs/>
        </w:rPr>
        <w:t>Realizowane w latach 2024 - 2026 oraz planowane inwestycje w tereny zielone i infrastrukturę rekreacyjną (obszar realizowany przez MOSiR)</w:t>
      </w:r>
    </w:p>
    <w:p>
      <w:pPr>
        <w:pStyle w:val="Normal"/>
        <w:jc w:val="both"/>
        <w:rPr>
          <w:rFonts w:ascii="Garamond" w:hAnsi="Garamond" w:eastAsia="Garamond" w:cs="Garamond"/>
          <w:b/>
          <w:b/>
          <w:bCs/>
        </w:rPr>
      </w:pPr>
      <w:r>
        <w:rPr>
          <w:rFonts w:eastAsia="Garamond" w:cs="Garamond" w:ascii="Garamond" w:hAnsi="Garamond"/>
          <w:b/>
          <w:bCs/>
        </w:rPr>
        <w:t xml:space="preserve"> </w:t>
      </w:r>
    </w:p>
    <w:p>
      <w:pPr>
        <w:pStyle w:val="Normal"/>
        <w:jc w:val="both"/>
        <w:rPr>
          <w:rFonts w:ascii="Garamond" w:hAnsi="Garamond" w:eastAsia="Garamond" w:cs="Garamond"/>
          <w:b/>
          <w:b/>
          <w:bCs/>
        </w:rPr>
      </w:pPr>
      <w:r>
        <w:rPr>
          <w:rFonts w:eastAsia="Garamond" w:cs="Garamond" w:ascii="Garamond" w:hAnsi="Garamond"/>
          <w:b/>
          <w:bCs/>
        </w:rPr>
        <w:t>2024 rok:</w:t>
      </w:r>
    </w:p>
    <w:p>
      <w:pPr>
        <w:pStyle w:val="Normal"/>
        <w:numPr>
          <w:ilvl w:val="0"/>
          <w:numId w:val="14"/>
        </w:numPr>
        <w:rPr>
          <w:rFonts w:ascii="Garamond" w:hAnsi="Garamond" w:eastAsia="Garamond" w:cs="Garamond"/>
        </w:rPr>
      </w:pPr>
      <w:r>
        <w:rPr>
          <w:rFonts w:eastAsia="Garamond" w:cs="Garamond" w:ascii="Garamond" w:hAnsi="Garamond"/>
          <w:b/>
          <w:bCs/>
        </w:rPr>
        <w:t>Modernizacja treningowego boiska piłkarskiego o nawierzchni z trawy syntetycznej na terenie Stadionu Ludowego przy ul. Kresowej 1 w Sosnowcu</w:t>
      </w:r>
    </w:p>
    <w:p>
      <w:pPr>
        <w:pStyle w:val="Normal"/>
        <w:ind w:left="720" w:hanging="0"/>
        <w:jc w:val="both"/>
        <w:rPr>
          <w:rFonts w:ascii="Garamond" w:hAnsi="Garamond" w:eastAsia="Garamond" w:cs="Garamond"/>
        </w:rPr>
      </w:pPr>
      <w:r>
        <w:rPr>
          <w:rFonts w:eastAsia="Garamond" w:cs="Garamond" w:ascii="Garamond" w:hAnsi="Garamond"/>
        </w:rPr>
        <w:t>Zadanie o wartości robót budowlanych w kwocie 2.022.120,00 zł brutto, którego realizacja rozpoczęła się 15.05.2024 roku. Zadanie było częściowo dofinansowane kwotą 1.026.715,00 zł ze środków Funduszu Rozwoju Kultury Fizycznej w ramach Programu Rozwoju Infrastruktury Piłkarskiej - Edycja 2022 przez Ministerstwo Sportu i Turystyki oraz kwotą 603.887,00 w formie dotacji z Funduszu Odporności Górnośląsko - Zagłębiowskiej Metropolii. Polegało na wymianie nawierzchni boiska z trawy syntetycznej, wymianie piłkochwytów oraz montażu instalacji zraszania. Roboty budowlane zostały zakończone i odebrane.</w:t>
      </w:r>
    </w:p>
    <w:p>
      <w:pPr>
        <w:pStyle w:val="Normal"/>
        <w:ind w:left="720" w:hanging="0"/>
        <w:jc w:val="both"/>
        <w:rPr>
          <w:rFonts w:ascii="Garamond" w:hAnsi="Garamond" w:eastAsia="Garamond" w:cs="Garamond"/>
        </w:rPr>
      </w:pPr>
      <w:r>
        <w:rPr>
          <w:rFonts w:eastAsia="Garamond" w:cs="Garamond" w:ascii="Garamond" w:hAnsi="Garamond"/>
          <w:b/>
          <w:bCs/>
        </w:rPr>
        <w:t>Budowa czterech boisk na terenie Stadionu Ludowego przy ul. Kresowej w Sosnowcu</w:t>
      </w:r>
      <w:bookmarkStart w:id="0" w:name="_GoBack"/>
      <w:bookmarkEnd w:id="0"/>
      <w:r>
        <w:rPr>
          <w:rFonts w:eastAsia="Garamond" w:cs="Garamond" w:ascii="Garamond" w:hAnsi="Garamond"/>
        </w:rPr>
        <w:t xml:space="preserve"> - zadanie o wartości robót budowlanych w kocie 2.245.980,00 zł brutto, którego realizacja rozpoczęła się 29.07.2024 roku częściowo finansowane ze środków Funduszu Rozwoju Kultury Fizycznej w ramach Programu Rozwoju Infrastruktury Piłkarskiej - Edycja 2023 przez Ministerstwo Sportu i Turystyki kwotą 1.154.422,00 zł oraz kwotą 653.484,79 zł w formie dotacji z Funduszu Odporności Górnośląsko - Zagłębiowskiej Metropolii. Zadanie polegało na budowie czterech boisk o nawierzchni z trawy syntetycznej o wymiarach: 60x35 m, 40x20m oraz dwóch o wymiarach 15x10m. Roboty budowlane zostały zakończone i odebrane.</w:t>
      </w:r>
    </w:p>
    <w:p>
      <w:pPr>
        <w:pStyle w:val="Normal"/>
        <w:numPr>
          <w:ilvl w:val="0"/>
          <w:numId w:val="13"/>
        </w:numPr>
        <w:rPr>
          <w:rFonts w:ascii="Garamond" w:hAnsi="Garamond" w:eastAsia="Garamond" w:cs="Garamond"/>
        </w:rPr>
      </w:pPr>
      <w:r>
        <w:rPr>
          <w:rFonts w:eastAsia="Garamond" w:cs="Garamond" w:ascii="Garamond" w:hAnsi="Garamond"/>
          <w:b/>
          <w:bCs/>
        </w:rPr>
        <w:t>Budowa boiska o nawierzchni z trawy syntetycznej wraz z zadaszeniem oraz infrastrukturą towarzyszącą na terenie Kompleksu Rekreacyjno - Sportowego przy ul. Hubala - Dobrzańskiego 99 D w Sosnowcu</w:t>
      </w:r>
    </w:p>
    <w:p>
      <w:pPr>
        <w:pStyle w:val="Normal"/>
        <w:ind w:left="720" w:hanging="0"/>
        <w:jc w:val="both"/>
        <w:rPr>
          <w:rFonts w:ascii="Garamond" w:hAnsi="Garamond" w:eastAsia="Garamond" w:cs="Garamond"/>
        </w:rPr>
      </w:pPr>
      <w:r>
        <w:rPr>
          <w:rFonts w:eastAsia="Garamond" w:cs="Garamond" w:ascii="Garamond" w:hAnsi="Garamond"/>
        </w:rPr>
        <w:t>Zadanie o wartości robót budowlanych w kwocie 13.890.000,00 zł brutto, którego realizacja rozpoczęła się od zawarcia umowy na wykonanie robót budowlanych w dniu 29.07.2024 roku częściowo dofinansowane kwotą ze środków Funduszu Rozwoju Kultury Fizycznej w ramach Programu Budowy Zadaszeń Boisk Piłkarskich - Edycja 2021 przez Ministerstwo Sportu i Turystyki kwotą 3.000.000,00 zł. Zadanie ukończone w 2025 roku.</w:t>
      </w:r>
    </w:p>
    <w:p>
      <w:pPr>
        <w:pStyle w:val="Normal"/>
        <w:numPr>
          <w:ilvl w:val="0"/>
          <w:numId w:val="6"/>
        </w:numPr>
        <w:jc w:val="both"/>
        <w:rPr>
          <w:rFonts w:ascii="Garamond" w:hAnsi="Garamond" w:eastAsia="Garamond" w:cs="Garamond"/>
        </w:rPr>
      </w:pPr>
      <w:r>
        <w:rPr>
          <w:rFonts w:eastAsia="Garamond" w:cs="Garamond" w:ascii="Garamond" w:hAnsi="Garamond"/>
          <w:b/>
          <w:bCs/>
        </w:rPr>
        <w:t>Perła Pogoni - stworzenie strefy odpoczynku i rekreacji (BO23/II/2)</w:t>
      </w:r>
    </w:p>
    <w:p>
      <w:pPr>
        <w:pStyle w:val="Normal"/>
        <w:ind w:left="720" w:hanging="0"/>
        <w:jc w:val="both"/>
        <w:rPr>
          <w:rFonts w:ascii="Garamond" w:hAnsi="Garamond" w:eastAsia="Garamond" w:cs="Garamond"/>
        </w:rPr>
      </w:pPr>
      <w:r>
        <w:rPr>
          <w:rFonts w:eastAsia="Garamond" w:cs="Garamond" w:ascii="Garamond" w:hAnsi="Garamond"/>
        </w:rPr>
        <w:t>Zadanie realizowane w Parku Dietla w ramach budżetu obywatelskiego polegało na wymianie nawierzchni tarasów z nawierzchni asfaltowej na nawierzchnię z wielkoformatowych płyt z betonu szlachetnego (wykonane jako elementy dwuwarstwowe gdzie warstwa górna - „użytkowa” wykonana jest ze szlachetnych trudnościeralnych kruszyw granitowych), przebudowie i naprawie murków i schodów kamiennych z wykorzystaniem rodzimego materiału oraz na montażu elementów małej architektury służących wypoczynkowi - leżaków i stolików. Zadanie zostało zakończone i odebrane.</w:t>
      </w:r>
    </w:p>
    <w:p>
      <w:pPr>
        <w:pStyle w:val="Normal"/>
        <w:jc w:val="both"/>
        <w:rPr>
          <w:rFonts w:ascii="Garamond" w:hAnsi="Garamond" w:eastAsia="Garamond" w:cs="Garamond"/>
        </w:rPr>
      </w:pPr>
      <w:r>
        <w:rPr>
          <w:rFonts w:eastAsia="Garamond" w:cs="Garamond" w:ascii="Garamond" w:hAnsi="Garamond"/>
        </w:rPr>
        <w:t xml:space="preserve"> </w:t>
      </w:r>
    </w:p>
    <w:p>
      <w:pPr>
        <w:pStyle w:val="Normal"/>
        <w:jc w:val="both"/>
        <w:rPr>
          <w:rFonts w:ascii="Garamond" w:hAnsi="Garamond" w:eastAsia="Garamond" w:cs="Garamond"/>
          <w:b/>
          <w:b/>
          <w:bCs/>
        </w:rPr>
      </w:pPr>
      <w:r>
        <w:rPr>
          <w:rFonts w:eastAsia="Garamond" w:cs="Garamond" w:ascii="Garamond" w:hAnsi="Garamond"/>
          <w:b/>
          <w:bCs/>
        </w:rPr>
        <w:t>2025 rok</w:t>
      </w:r>
    </w:p>
    <w:p>
      <w:pPr>
        <w:pStyle w:val="Normal"/>
        <w:numPr>
          <w:ilvl w:val="0"/>
          <w:numId w:val="21"/>
        </w:numPr>
        <w:rPr>
          <w:rFonts w:ascii="Garamond" w:hAnsi="Garamond" w:eastAsia="Garamond" w:cs="Garamond"/>
          <w:b/>
          <w:b/>
          <w:bCs/>
        </w:rPr>
      </w:pPr>
      <w:r>
        <w:rPr>
          <w:rFonts w:eastAsia="Garamond" w:cs="Garamond" w:ascii="Garamond" w:hAnsi="Garamond"/>
          <w:b/>
          <w:bCs/>
        </w:rPr>
        <w:t>Modernizacja hali i oświetlenia na terenie Kompleksu Sportowego przy ul. Orląt Lwowskich 70 w Sosnowcu - projekt</w:t>
      </w:r>
    </w:p>
    <w:p>
      <w:pPr>
        <w:pStyle w:val="Normal"/>
        <w:ind w:left="720" w:hanging="0"/>
        <w:jc w:val="both"/>
        <w:rPr>
          <w:rFonts w:ascii="Garamond" w:hAnsi="Garamond" w:eastAsia="Garamond" w:cs="Garamond"/>
        </w:rPr>
      </w:pPr>
      <w:r>
        <w:rPr>
          <w:rFonts w:eastAsia="Garamond" w:cs="Garamond" w:ascii="Garamond" w:hAnsi="Garamond"/>
        </w:rPr>
        <w:t>W ramach budżetu na 2025 rok zaplanowano i wykonano projekt oświetlenia boiska treningowego na terenie Kompleksu o wymiarach 100 x 100 m i uzyskano pozwolenie na budowę. Projekt przewiduje montaż sześciu masztów o wysokości 18 m i na każdym z nich po 4 szt. projektorów led co pozwoli uzyskać wymagany poziom jego oświetlenia min. 200 lx.</w:t>
      </w:r>
    </w:p>
    <w:p>
      <w:pPr>
        <w:pStyle w:val="Normal"/>
        <w:numPr>
          <w:ilvl w:val="0"/>
          <w:numId w:val="5"/>
        </w:numPr>
        <w:rPr>
          <w:rFonts w:ascii="Garamond" w:hAnsi="Garamond" w:eastAsia="Garamond" w:cs="Garamond"/>
        </w:rPr>
      </w:pPr>
      <w:r>
        <w:rPr>
          <w:rFonts w:eastAsia="Garamond" w:cs="Garamond" w:ascii="Garamond" w:hAnsi="Garamond"/>
          <w:b/>
          <w:bCs/>
        </w:rPr>
        <w:t>Zagospodarowanie i nadanie nowych funkcji terenom  po dawnym obiekcie Stadionu Zimowego w Sosnowcu</w:t>
      </w:r>
    </w:p>
    <w:p>
      <w:pPr>
        <w:pStyle w:val="Normal"/>
        <w:ind w:left="720" w:hanging="0"/>
        <w:jc w:val="both"/>
        <w:rPr>
          <w:rFonts w:ascii="Garamond" w:hAnsi="Garamond" w:eastAsia="Garamond" w:cs="Garamond"/>
        </w:rPr>
      </w:pPr>
      <w:r>
        <w:rPr>
          <w:rFonts w:eastAsia="Garamond" w:cs="Garamond" w:ascii="Garamond" w:hAnsi="Garamond"/>
        </w:rPr>
        <w:t>Zakres prac w 2025 roku obejmował opracowanie programu funkcjonalno - użytkowego rozbiórki obiektu i rekultywacji terenu czego efektem będzie powiększenie Parku Sieleckiego. Dokument miał posłużyć ubieganiu się o dofinansowanie środkami unijnymi wykonania robót budowlanych. W dniu 29 grudnia 2025 roku złożono wniosek o dofinansowanie w ramach Fundusze Europejskie dla Śląskiego dla działania FESL.10.07 - Rekultywacja terenów poprzemysłowych, zdewastowanych, zdegradowanych na cele środowiskowe (FESL.10.07-IZ.01-294/25).</w:t>
      </w:r>
    </w:p>
    <w:p>
      <w:pPr>
        <w:pStyle w:val="Normal"/>
        <w:numPr>
          <w:ilvl w:val="0"/>
          <w:numId w:val="12"/>
        </w:numPr>
        <w:rPr>
          <w:rFonts w:ascii="Garamond" w:hAnsi="Garamond" w:eastAsia="Garamond" w:cs="Garamond"/>
        </w:rPr>
      </w:pPr>
      <w:r>
        <w:rPr>
          <w:rFonts w:eastAsia="Garamond" w:cs="Garamond" w:ascii="Garamond" w:hAnsi="Garamond"/>
          <w:b/>
          <w:bCs/>
        </w:rPr>
        <w:t>Budowa boiska o nawierzchni z trawy syntetycznej wraz z zadaszeniem oraz infrastrukturą towarzyszącą na terenie Kompleksu Rekreacyjno - Sportowego przy ul. Hubala - Dobrzańskiego 99 D w Sosnowcu</w:t>
      </w:r>
    </w:p>
    <w:p>
      <w:pPr>
        <w:pStyle w:val="Normal"/>
        <w:ind w:left="720" w:hanging="0"/>
        <w:jc w:val="both"/>
        <w:rPr>
          <w:rFonts w:ascii="Garamond" w:hAnsi="Garamond" w:eastAsia="Garamond" w:cs="Garamond"/>
        </w:rPr>
      </w:pPr>
      <w:r>
        <w:rPr>
          <w:rFonts w:eastAsia="Garamond" w:cs="Garamond" w:ascii="Garamond" w:hAnsi="Garamond"/>
        </w:rPr>
        <w:t>Zadanie rozpoczęte w 2024 roku. Zostało ukończone i odebrane w 2025 roku. W efekcie prowadzonych robót powstały: pełnowymiarowe boisko piłkarskie o nawierzchni z trawy syntetycznej z zadaszeniem pneumatycznym, zaplecze techniczne hali, budynek szatniowo - sanitarny dla użytkowników obiektu oraz infrastruktura pieszo - jezdna, oświetlenie, ogrodzenia.</w:t>
      </w:r>
    </w:p>
    <w:p>
      <w:pPr>
        <w:pStyle w:val="Normal"/>
        <w:numPr>
          <w:ilvl w:val="0"/>
          <w:numId w:val="2"/>
        </w:numPr>
        <w:rPr>
          <w:rFonts w:ascii="Garamond" w:hAnsi="Garamond" w:eastAsia="Garamond" w:cs="Garamond"/>
        </w:rPr>
      </w:pPr>
      <w:r>
        <w:rPr>
          <w:rFonts w:eastAsia="Garamond" w:cs="Garamond" w:ascii="Garamond" w:hAnsi="Garamond"/>
          <w:b/>
          <w:bCs/>
        </w:rPr>
        <w:t>Przebudowa Stadionu Piłkarskiego przy ul. Górników 81a w Sosnowcu - opracowanie PFU do wniosków do MSiT</w:t>
      </w:r>
    </w:p>
    <w:p>
      <w:pPr>
        <w:pStyle w:val="Normal"/>
        <w:ind w:left="720" w:hanging="0"/>
        <w:jc w:val="both"/>
        <w:rPr>
          <w:rFonts w:ascii="Garamond" w:hAnsi="Garamond" w:eastAsia="Garamond" w:cs="Garamond"/>
        </w:rPr>
      </w:pPr>
      <w:r>
        <w:rPr>
          <w:rFonts w:eastAsia="Garamond" w:cs="Garamond" w:ascii="Garamond" w:hAnsi="Garamond"/>
        </w:rPr>
        <w:t>Celem zadania jest budowa wieloobiektowego kompleksu sportowego w którego skład docelowo wejdą: pełnowymiarowa płyta boiska o nawierzchni z trawy syntetycznej wraz z zadaszonymi trybunami, boisko typu Orlik z nawierzchnią z trawy syntetycznej o wymiarach 56 x 26 m, dwa boiska wielofunkcyjne o nawierzchni poliuretanowej, kort tenisowy z nawierzchnią z mączki ceglanej, budynek z zapleczem szatniowym, budynek kas dla kibiców przyjezdnych z magazynem sprzętu sportowego oraz budynek kas dla gospodarzy z wc, a także utwardzenie terenu, parkingi oświetlenie, odwodnienie, przyłącza i sieci oraz obiekty małej architektury (ławki, kosze). W 2025 roku opracowano dwa programy funkcjonalno - użytkowe oraz złożono wnioski do MSiT o dofinansowanie w programach: Budowy Kompleksów Sportowych „Orlik” – edycja 2025 oraz Budowy Pełnowymiarowych Boisk Piłkarskich – edycja 2025</w:t>
      </w:r>
    </w:p>
    <w:p>
      <w:pPr>
        <w:pStyle w:val="Normal"/>
        <w:numPr>
          <w:ilvl w:val="0"/>
          <w:numId w:val="8"/>
        </w:numPr>
        <w:jc w:val="both"/>
        <w:rPr>
          <w:rFonts w:ascii="Garamond" w:hAnsi="Garamond" w:eastAsia="Garamond" w:cs="Garamond"/>
        </w:rPr>
      </w:pPr>
      <w:r>
        <w:rPr>
          <w:rFonts w:eastAsia="Garamond" w:cs="Garamond" w:ascii="Garamond" w:hAnsi="Garamond"/>
          <w:b/>
          <w:bCs/>
        </w:rPr>
        <w:t>Modernizacja boiska ogólnodostępnego przy ZSO nr 14 przy ul. Kisielewskiego 4 b (BO25/O/18)</w:t>
      </w:r>
    </w:p>
    <w:p>
      <w:pPr>
        <w:pStyle w:val="Normal"/>
        <w:ind w:left="720" w:hanging="0"/>
        <w:jc w:val="both"/>
        <w:rPr>
          <w:rFonts w:ascii="Garamond" w:hAnsi="Garamond" w:eastAsia="Garamond" w:cs="Garamond"/>
        </w:rPr>
      </w:pPr>
      <w:r>
        <w:rPr>
          <w:rFonts w:eastAsia="Garamond" w:cs="Garamond" w:ascii="Garamond" w:hAnsi="Garamond"/>
        </w:rPr>
        <w:t xml:space="preserve">Zadanie realizowane w ramach budżetu obywatelskiego. Obejmowało wymianę nawierzchni istniejącego boiska typu Orlik po 17 latach jej eksploatacji. Roboty zostały wykonane i odebrane </w:t>
      </w:r>
    </w:p>
    <w:p>
      <w:pPr>
        <w:pStyle w:val="Normal"/>
        <w:numPr>
          <w:ilvl w:val="0"/>
          <w:numId w:val="17"/>
        </w:numPr>
        <w:rPr>
          <w:rFonts w:ascii="Garamond" w:hAnsi="Garamond" w:eastAsia="Garamond" w:cs="Garamond"/>
        </w:rPr>
      </w:pPr>
      <w:r>
        <w:rPr>
          <w:rFonts w:eastAsia="Garamond" w:cs="Garamond" w:ascii="Garamond" w:hAnsi="Garamond"/>
          <w:b/>
          <w:bCs/>
        </w:rPr>
        <w:t>Przebudowa budynku Pawilonu Sportowego przy ul. Starzyńskiego 50 w Sosnowcu</w:t>
      </w:r>
    </w:p>
    <w:p>
      <w:pPr>
        <w:pStyle w:val="Normal"/>
        <w:ind w:left="720" w:hanging="0"/>
        <w:jc w:val="both"/>
        <w:rPr>
          <w:rFonts w:ascii="Garamond" w:hAnsi="Garamond" w:eastAsia="Garamond" w:cs="Garamond"/>
        </w:rPr>
      </w:pPr>
      <w:r>
        <w:rPr>
          <w:rFonts w:eastAsia="Garamond" w:cs="Garamond" w:ascii="Garamond" w:hAnsi="Garamond"/>
        </w:rPr>
        <w:t>Będący w zarządzie jednostki budynek nigdy nie przechodził poważniejszego remontu, a jego stan techniczny i estetyczny dalece już odbiegał od standardów. Dlatego zdecydowano o poniesieniu nakładów i zlecono opracowanie dokumentacji technicznej przebudowy pawilonu. Projekt, który uzyskał w 2025 roku pozwolenie na budowę zakłada przebudowę wnętrz z zachowaniem dotychczasowej funkcji, wymianę pokrycia dachowego wraz z ociepleniem, ocieplenie elewacji, wymianę źródła ciepła z instalacją centralnego ogrzewania, modernizację otoczenia budynku. Na podstawie tego projektu złożono wniosek o dofinansowanie przebudowy środkami MSiT w ramach Programu Rozwoju Infrastruktury Sportowej w Województwach edycja 2026. Nastąpiło rozstrzygnięcie konkursu w pierwszym etapie poprzez akceptację naszego wniosku przez Urząd Marszałkowski (Uchwała nr VII/28/8/2026 z 22 czerwca 2026 roku Sejmiku Województwa Śląskiego). W ramach tego naboru gmina ubiegała się o dofinansowanie w wysokości 987.000,00 zł i takie jest rekomendowane w powyższej uchwale.</w:t>
      </w:r>
    </w:p>
    <w:p>
      <w:pPr>
        <w:pStyle w:val="Normal"/>
        <w:numPr>
          <w:ilvl w:val="0"/>
          <w:numId w:val="10"/>
        </w:numPr>
        <w:rPr>
          <w:rFonts w:ascii="Garamond" w:hAnsi="Garamond" w:eastAsia="Garamond" w:cs="Garamond"/>
        </w:rPr>
      </w:pPr>
      <w:r>
        <w:rPr>
          <w:rFonts w:eastAsia="Garamond" w:cs="Garamond" w:ascii="Garamond" w:hAnsi="Garamond"/>
          <w:b/>
          <w:bCs/>
        </w:rPr>
        <w:t>Adaptacja części budynku przy ul. 3 Maja 41 w Sosnowcu na Szkołę Mistrzostwa Sportowego dla koszykarzy wraz z internatem</w:t>
      </w:r>
    </w:p>
    <w:p>
      <w:pPr>
        <w:pStyle w:val="Normal"/>
        <w:ind w:left="720" w:hanging="0"/>
        <w:jc w:val="both"/>
        <w:rPr>
          <w:rFonts w:ascii="Garamond" w:hAnsi="Garamond" w:eastAsia="Garamond" w:cs="Garamond"/>
        </w:rPr>
      </w:pPr>
      <w:r>
        <w:rPr>
          <w:rFonts w:eastAsia="Garamond" w:cs="Garamond" w:ascii="Garamond" w:hAnsi="Garamond"/>
        </w:rPr>
        <w:t>W 2025 roku opracowano projekt koncepcyjny adaptacji części budynku przy ul. 3 Maja 41 w Sosnowcu na Szkołę Mistrzostwa Sportowego dla koszykarzy wraz z internatem z planem jego kontynuacji w roku 2026</w:t>
      </w:r>
    </w:p>
    <w:p>
      <w:pPr>
        <w:pStyle w:val="Normal"/>
        <w:numPr>
          <w:ilvl w:val="0"/>
          <w:numId w:val="4"/>
        </w:numPr>
        <w:rPr>
          <w:rFonts w:ascii="Garamond" w:hAnsi="Garamond" w:eastAsia="Garamond" w:cs="Garamond"/>
        </w:rPr>
      </w:pPr>
      <w:r>
        <w:rPr>
          <w:rFonts w:eastAsia="Garamond" w:cs="Garamond" w:ascii="Garamond" w:hAnsi="Garamond"/>
          <w:b/>
          <w:bCs/>
        </w:rPr>
        <w:t>Zakup i montaż instalacji OZE dla obiektów MOSiR przy ul. Baczyńskiego 4, ul. Mireckiego 4, ul. Kresowej 1, ul. Orląt Lwowskich 70, ul. 3 Maja 41 w Sosnowcu</w:t>
      </w:r>
    </w:p>
    <w:p>
      <w:pPr>
        <w:pStyle w:val="Normal"/>
        <w:ind w:left="720" w:hanging="0"/>
        <w:jc w:val="both"/>
        <w:rPr>
          <w:rFonts w:ascii="Garamond" w:hAnsi="Garamond" w:eastAsia="Garamond" w:cs="Garamond"/>
        </w:rPr>
      </w:pPr>
      <w:r>
        <w:rPr>
          <w:rFonts w:eastAsia="Garamond" w:cs="Garamond" w:ascii="Garamond" w:hAnsi="Garamond"/>
        </w:rPr>
        <w:t xml:space="preserve">Po uzyskaniu dofinansowania unijnego (Fundusze Europejskie dla Śląskiego 2021-2027) i podpisaniu umowy z Województwem Śląskim (Zarząd Województwa Śląskiego) przeprowadzono postępowanie przetargowe na wyłonienie dostawcy urządzeń. </w:t>
      </w:r>
    </w:p>
    <w:p>
      <w:pPr>
        <w:pStyle w:val="Normal"/>
        <w:jc w:val="both"/>
        <w:rPr>
          <w:rFonts w:ascii="Garamond" w:hAnsi="Garamond" w:eastAsia="Garamond" w:cs="Garamond"/>
        </w:rPr>
      </w:pPr>
      <w:r>
        <w:rPr>
          <w:rFonts w:eastAsia="Garamond" w:cs="Garamond" w:ascii="Garamond" w:hAnsi="Garamond"/>
        </w:rPr>
        <w:t xml:space="preserve"> </w:t>
      </w:r>
    </w:p>
    <w:p>
      <w:pPr>
        <w:pStyle w:val="Normal"/>
        <w:jc w:val="both"/>
        <w:rPr>
          <w:rFonts w:ascii="Garamond" w:hAnsi="Garamond" w:eastAsia="Garamond" w:cs="Garamond"/>
          <w:b/>
          <w:b/>
          <w:bCs/>
        </w:rPr>
      </w:pPr>
      <w:r>
        <w:rPr>
          <w:rFonts w:eastAsia="Garamond" w:cs="Garamond" w:ascii="Garamond" w:hAnsi="Garamond"/>
          <w:b/>
          <w:bCs/>
        </w:rPr>
        <w:t>2026 rok</w:t>
      </w:r>
    </w:p>
    <w:p>
      <w:pPr>
        <w:pStyle w:val="Normal"/>
        <w:numPr>
          <w:ilvl w:val="0"/>
          <w:numId w:val="7"/>
        </w:numPr>
        <w:jc w:val="both"/>
        <w:rPr>
          <w:rFonts w:ascii="Garamond" w:hAnsi="Garamond" w:eastAsia="Garamond" w:cs="Garamond"/>
        </w:rPr>
      </w:pPr>
      <w:r>
        <w:rPr>
          <w:rFonts w:eastAsia="Garamond" w:cs="Garamond" w:ascii="Garamond" w:hAnsi="Garamond"/>
          <w:b/>
          <w:bCs/>
        </w:rPr>
        <w:t>Budowa Kompleksu Sportowego "Orlik" 2025 wraz z budową kortu tenisowego przy ul. Górników w Sosnowcu</w:t>
      </w:r>
    </w:p>
    <w:p>
      <w:pPr>
        <w:pStyle w:val="Normal"/>
        <w:ind w:left="720" w:hanging="0"/>
        <w:jc w:val="both"/>
        <w:rPr>
          <w:rFonts w:ascii="Garamond" w:hAnsi="Garamond" w:eastAsia="Garamond" w:cs="Garamond"/>
        </w:rPr>
      </w:pPr>
      <w:r>
        <w:rPr>
          <w:rFonts w:eastAsia="Garamond" w:cs="Garamond" w:ascii="Garamond" w:hAnsi="Garamond"/>
        </w:rPr>
        <w:t>W listopadzie 2025 roku, MSiT przyznało gminie dofinansowanie w kwocie 2.000.000,00 zł w Programie budowy kompleksów sportowych ORLIK 2025 prowadzonym przez MSiT – obejmującym część powyższego zakresu prac, tj. budowę: boiska treningowego, boiska wielofunkcyjnego, kortu tenisowego, budynku zaplecza szatniowo - sanitarnego. Dnia 22 maja 2026 roku otrzymaliśmy informację o udzieleniu gminie kolejnego dofinansowania w  Programie budowy pełnowymiarowych boisk piłkarskich – Edycja 2025 o dofinansowanie budowy: boiska o nawierzchni z trawy syntetycznej w ramach zadania inwestycyjnego pn. Przebudowa Stadionu Piłkarskiego przy ul. Górników 81A w Sosnowcu w kwocie 2.904.000,00 zł Jednocześnie zwycięskim okazał się też wniosek złożony w ramach budżetu obywatelskiego z kwotą 2 mln zł w strefie ogólnomiejskiej pn. Rewitalizacja Stadionu Górnik Sosnowiec-sportowe serce Zagórza wraca do życia</w:t>
      </w:r>
      <w:r>
        <w:rPr>
          <w:rFonts w:eastAsia="Garamond" w:cs="Garamond" w:ascii="Garamond" w:hAnsi="Garamond"/>
          <w:sz w:val="20"/>
          <w:szCs w:val="20"/>
        </w:rPr>
        <w:t>.</w:t>
      </w:r>
      <w:r>
        <w:rPr>
          <w:rFonts w:eastAsia="Calibri" w:cs="Calibri" w:ascii="Calibri" w:hAnsi="Calibri"/>
          <w:b/>
          <w:bCs/>
          <w:sz w:val="20"/>
          <w:szCs w:val="20"/>
        </w:rPr>
        <w:t xml:space="preserve"> </w:t>
      </w:r>
      <w:r>
        <w:rPr>
          <w:rFonts w:eastAsia="Garamond" w:cs="Garamond" w:ascii="Garamond" w:hAnsi="Garamond"/>
        </w:rPr>
        <w:t>Ostateczne wysokości dofinansowań podlegać będą korekcie ze względu na elementy wspólne w obu zadaniach podlegających dofinansowaniu MSiT.</w:t>
      </w:r>
    </w:p>
    <w:p>
      <w:pPr>
        <w:pStyle w:val="Normal"/>
        <w:ind w:left="720" w:hanging="0"/>
        <w:jc w:val="both"/>
        <w:rPr>
          <w:rFonts w:ascii="Garamond" w:hAnsi="Garamond" w:eastAsia="Garamond" w:cs="Garamond"/>
        </w:rPr>
      </w:pPr>
      <w:r>
        <w:rPr>
          <w:rFonts w:eastAsia="Garamond" w:cs="Garamond" w:ascii="Garamond" w:hAnsi="Garamond"/>
        </w:rPr>
        <w:t>Jeszcze w roku bieżącym organizować będziemy postępowanie przetargowe, którego celem będzie wyłonienie wykonawcy, który w formule zaprojektuj i wybuduj wykona oba zadania inwestycyjne wraz z zakresem objętym budżetem obywatelskim. ostatecznej wysokości dofinansowań.</w:t>
      </w:r>
    </w:p>
    <w:p>
      <w:pPr>
        <w:pStyle w:val="Normal"/>
        <w:numPr>
          <w:ilvl w:val="0"/>
          <w:numId w:val="1"/>
        </w:numPr>
        <w:jc w:val="both"/>
        <w:rPr>
          <w:rFonts w:ascii="Garamond" w:hAnsi="Garamond" w:eastAsia="Garamond" w:cs="Garamond"/>
        </w:rPr>
      </w:pPr>
      <w:r>
        <w:rPr>
          <w:rFonts w:eastAsia="Garamond" w:cs="Garamond" w:ascii="Garamond" w:hAnsi="Garamond"/>
          <w:b/>
          <w:bCs/>
        </w:rPr>
        <w:t>Wymiana pokrycia dachowego Domu Sportowca na terenie Kompleksu Piłkarskiego przy ul. Kresowej 1 w Sosnowcu</w:t>
      </w:r>
    </w:p>
    <w:p>
      <w:pPr>
        <w:pStyle w:val="Normal"/>
        <w:ind w:left="720" w:hanging="0"/>
        <w:jc w:val="both"/>
        <w:rPr>
          <w:rFonts w:ascii="Garamond" w:hAnsi="Garamond" w:eastAsia="Garamond" w:cs="Garamond"/>
        </w:rPr>
      </w:pPr>
      <w:r>
        <w:rPr>
          <w:rFonts w:eastAsia="Garamond" w:cs="Garamond" w:ascii="Garamond" w:hAnsi="Garamond"/>
        </w:rPr>
        <w:t>Dach budynku już od kilku lat był lokalnie nieszczelny, dlatego zdecydowano o jego naprawie. Prace polegały na ułożeniu nowego pokrycia dachowego z papy termozgrzewalnej i robotach towarzyszących (naprawą ścian murków ogniowych i kominów, wymiana, naprawa i konserwacja obróbek blacharskich oraz wymiana instalacji odgromowej). Zadanie zostało wykonane i odebrane.</w:t>
      </w:r>
    </w:p>
    <w:p>
      <w:pPr>
        <w:pStyle w:val="Normal"/>
        <w:numPr>
          <w:ilvl w:val="0"/>
          <w:numId w:val="18"/>
        </w:numPr>
        <w:rPr>
          <w:rFonts w:ascii="Garamond" w:hAnsi="Garamond" w:eastAsia="Garamond" w:cs="Garamond"/>
        </w:rPr>
      </w:pPr>
      <w:r>
        <w:rPr>
          <w:rFonts w:eastAsia="Garamond" w:cs="Garamond" w:ascii="Garamond" w:hAnsi="Garamond"/>
          <w:b/>
          <w:bCs/>
        </w:rPr>
        <w:t>Wymiana piłkochwytów boisk treningowych o nawierzchni z trawy naturalnej na terenie Stadionu Piłkarskiego przy ul. Kresowej 1</w:t>
      </w:r>
    </w:p>
    <w:p>
      <w:pPr>
        <w:pStyle w:val="Normal"/>
        <w:ind w:left="720" w:hanging="0"/>
        <w:jc w:val="both"/>
        <w:rPr>
          <w:rFonts w:ascii="Garamond" w:hAnsi="Garamond" w:eastAsia="Garamond" w:cs="Garamond"/>
        </w:rPr>
      </w:pPr>
      <w:r>
        <w:rPr>
          <w:rFonts w:eastAsia="Garamond" w:cs="Garamond" w:ascii="Garamond" w:hAnsi="Garamond"/>
        </w:rPr>
        <w:t>Stan siatek piłkochwytów po 16 latach ich użytkowania był już bardzo zły. Wszystkie linki napinające były pęknięte, siatka była w bardzo wielu miejscach dziurawa na całym jej obwodzie. Dodatkowo w 2026 roku obiekt ma być obiektem treningowym dla drużyn z zagranicy podczas mistrzostw świata U-20 Kobiet. Dlatego zdecydowano o kompleksowej wymianie siatek oraz 10 szt. uszkodzonych słupów. Dodatkowo, w celu ochrony boisk przed dzikami zdecydowano o zainstalowaniu ogrodzenia panelowego o wysokości około 1 m na dwóch nie chronionych przed dzikami bokach. Prace zostały wykonane i odebrane.</w:t>
      </w:r>
    </w:p>
    <w:p>
      <w:pPr>
        <w:pStyle w:val="Normal"/>
        <w:numPr>
          <w:ilvl w:val="0"/>
          <w:numId w:val="11"/>
        </w:numPr>
        <w:rPr>
          <w:rFonts w:ascii="Garamond" w:hAnsi="Garamond" w:eastAsia="Garamond" w:cs="Garamond"/>
        </w:rPr>
      </w:pPr>
      <w:r>
        <w:rPr>
          <w:rFonts w:eastAsia="Garamond" w:cs="Garamond" w:ascii="Garamond" w:hAnsi="Garamond"/>
          <w:b/>
          <w:bCs/>
        </w:rPr>
        <w:t>Montaż piłkochwytów boiska treningowego na terenie Stadionu Piłkarskiego przy ul. Gałczyńskiego 9</w:t>
      </w:r>
    </w:p>
    <w:p>
      <w:pPr>
        <w:pStyle w:val="Normal"/>
        <w:ind w:left="720" w:hanging="0"/>
        <w:jc w:val="both"/>
        <w:rPr>
          <w:rFonts w:ascii="Garamond" w:hAnsi="Garamond" w:eastAsia="Garamond" w:cs="Garamond"/>
        </w:rPr>
      </w:pPr>
      <w:r>
        <w:rPr>
          <w:rFonts w:eastAsia="Garamond" w:cs="Garamond" w:ascii="Garamond" w:hAnsi="Garamond"/>
        </w:rPr>
        <w:t xml:space="preserve">Teren wykorzystywany przez klub jako boisko dla dzieci i boisko treningowe nie jest otoczony piłkochwytem co utrudnia, a nawet stanowi niebezpieczeństwo dla użytkowników ulicy Gałczyńskiego. Zachodzi w związku z tym konieczność montażu piłkochwytów. Na zrealizowanie tego zadania zarezerwowano kwotę 90.000 zł. Jednostka planuje realizację tego zadania na przełomie III i IV kwartału br. </w:t>
      </w:r>
    </w:p>
    <w:p>
      <w:pPr>
        <w:pStyle w:val="Normal"/>
        <w:numPr>
          <w:ilvl w:val="0"/>
          <w:numId w:val="16"/>
        </w:numPr>
        <w:rPr>
          <w:rFonts w:ascii="Garamond" w:hAnsi="Garamond" w:eastAsia="Garamond" w:cs="Garamond"/>
        </w:rPr>
      </w:pPr>
      <w:r>
        <w:rPr>
          <w:rFonts w:eastAsia="Garamond" w:cs="Garamond" w:ascii="Garamond" w:hAnsi="Garamond"/>
          <w:b/>
          <w:bCs/>
        </w:rPr>
        <w:t>Modernizacja Kompleksu Sportowego przy alei Mireckiego 31 w Sosnowcu - II etap</w:t>
      </w:r>
    </w:p>
    <w:p>
      <w:pPr>
        <w:pStyle w:val="Normal"/>
        <w:ind w:left="720" w:hanging="0"/>
        <w:jc w:val="both"/>
        <w:rPr>
          <w:rFonts w:ascii="Garamond" w:hAnsi="Garamond" w:eastAsia="Garamond" w:cs="Garamond"/>
        </w:rPr>
      </w:pPr>
      <w:r>
        <w:rPr>
          <w:rFonts w:eastAsia="Garamond" w:cs="Garamond" w:ascii="Garamond" w:hAnsi="Garamond"/>
        </w:rPr>
        <w:t>Zadanie obejmuje opracowanie projektu wymiany ogrodzenia obiektu od strony ul. Sportowej i ul. Sedlaka oraz rozbiórkę nieużytkowanej wiaty magazynowej na zapleczu pawilonu szatniowego. Prace projektowe są w toku. Umowny termin ich zakończenia to 27.07.2026 roku.</w:t>
      </w:r>
    </w:p>
    <w:p>
      <w:pPr>
        <w:pStyle w:val="Normal"/>
        <w:numPr>
          <w:ilvl w:val="0"/>
          <w:numId w:val="3"/>
        </w:numPr>
        <w:rPr>
          <w:rFonts w:ascii="Garamond" w:hAnsi="Garamond" w:eastAsia="Garamond" w:cs="Garamond"/>
        </w:rPr>
      </w:pPr>
      <w:r>
        <w:rPr>
          <w:rFonts w:eastAsia="Garamond" w:cs="Garamond" w:ascii="Garamond" w:hAnsi="Garamond"/>
          <w:b/>
          <w:bCs/>
        </w:rPr>
        <w:t>Zagospodarowanie i nadanie nowych funkcji terenom  po dawnym obiekcie Stadionu Zimowego w Sosnowcu.</w:t>
      </w:r>
    </w:p>
    <w:p>
      <w:pPr>
        <w:pStyle w:val="Normal"/>
        <w:ind w:left="720" w:hanging="0"/>
        <w:jc w:val="both"/>
        <w:rPr>
          <w:rFonts w:ascii="Garamond" w:hAnsi="Garamond" w:eastAsia="Garamond" w:cs="Garamond"/>
        </w:rPr>
      </w:pPr>
      <w:r>
        <w:rPr>
          <w:rFonts w:eastAsia="Garamond" w:cs="Garamond" w:ascii="Garamond" w:hAnsi="Garamond"/>
        </w:rPr>
        <w:t>W związku z zaprzestaniem użytkowania istniejącego obiektu planujemy jego rozbiórkę wraz z sąsiadującą taflą B i całą infrastrukturą towarzyszącą (nawierzchnie piesze i jezdne, ogrodzenie, sieci uzbrojenia i przyłącza) oraz rekultywację terenu dawnego obiektu czego efektem będzie przywrócenie go w obszar sąsiadującego Parku Sieleckiego. Obecnie prowadzimy działania mające na celu rozpoczęcie procedury przetargowej wykonawcy prac w formule zaprojektuj i wybuduj.</w:t>
      </w:r>
    </w:p>
    <w:p>
      <w:pPr>
        <w:pStyle w:val="Normal"/>
        <w:numPr>
          <w:ilvl w:val="0"/>
          <w:numId w:val="9"/>
        </w:numPr>
        <w:rPr>
          <w:rFonts w:ascii="Garamond" w:hAnsi="Garamond" w:eastAsia="Garamond" w:cs="Garamond"/>
        </w:rPr>
      </w:pPr>
      <w:r>
        <w:rPr>
          <w:rFonts w:eastAsia="Garamond" w:cs="Garamond" w:ascii="Garamond" w:hAnsi="Garamond"/>
          <w:b/>
          <w:bCs/>
        </w:rPr>
        <w:t>Modernizacja hali i oświetlenia na terenie Kompleksu Sportowego przy ul. Orląt Lwowskich 70</w:t>
      </w:r>
    </w:p>
    <w:p>
      <w:pPr>
        <w:pStyle w:val="Normal"/>
        <w:ind w:left="720" w:hanging="0"/>
        <w:jc w:val="both"/>
        <w:rPr>
          <w:rFonts w:ascii="Garamond" w:hAnsi="Garamond" w:eastAsia="Garamond" w:cs="Garamond"/>
        </w:rPr>
      </w:pPr>
      <w:r>
        <w:rPr>
          <w:rFonts w:eastAsia="Garamond" w:cs="Garamond" w:ascii="Garamond" w:hAnsi="Garamond"/>
        </w:rPr>
        <w:t>Działania w tym zadaniu prowadzone są w dwóch obszarach. Zawarto umowę na opracowanie projektu przebudowy wnętrz w obrębie holu dla kibiców hali głównej, z przebudową ściany frontowej hali oraz termomodernizacją ścian hali. Prace projektowe są w toku. Jednocześnie na podstawie projektu opracowanego w 2025 roku na ukończeniu jest postępowanie przetargowe mające na celu wyłonienie wykonawcy oświetlenia boiska treningowego.</w:t>
      </w:r>
    </w:p>
    <w:p>
      <w:pPr>
        <w:pStyle w:val="Normal"/>
        <w:numPr>
          <w:ilvl w:val="0"/>
          <w:numId w:val="22"/>
        </w:numPr>
        <w:rPr>
          <w:rFonts w:ascii="Garamond" w:hAnsi="Garamond" w:eastAsia="Garamond" w:cs="Garamond"/>
        </w:rPr>
      </w:pPr>
      <w:r>
        <w:rPr>
          <w:rFonts w:eastAsia="Garamond" w:cs="Garamond" w:ascii="Garamond" w:hAnsi="Garamond"/>
          <w:b/>
          <w:bCs/>
        </w:rPr>
        <w:t>Wymiana parkietu w Hali Sportowej przy ul. Żeromskiego 4C</w:t>
      </w:r>
    </w:p>
    <w:p>
      <w:pPr>
        <w:pStyle w:val="Normal"/>
        <w:ind w:left="720" w:hanging="0"/>
        <w:jc w:val="both"/>
        <w:rPr>
          <w:rFonts w:ascii="Garamond" w:hAnsi="Garamond" w:eastAsia="Garamond" w:cs="Garamond"/>
        </w:rPr>
      </w:pPr>
      <w:r>
        <w:rPr>
          <w:rFonts w:eastAsia="Garamond" w:cs="Garamond" w:ascii="Garamond" w:hAnsi="Garamond"/>
        </w:rPr>
        <w:t>Jednostka zleciła opracowanie programu funkcjonalno – użytkowego na wymianę parkietu sportowego w hali wraz z niezbędnymi robotami towarzyszącymi na podłogę z certyfikowanym systemem powierzchniowo - elastycznym. W czerwcu br., po postępowaniu przetargowym, została zawarta umowa na opracowanie projektu i wymianę parkietu w hali. Umowny termin prac remontowych to 18.08.2026 roku.</w:t>
      </w:r>
    </w:p>
    <w:p>
      <w:pPr>
        <w:pStyle w:val="Normal"/>
        <w:numPr>
          <w:ilvl w:val="0"/>
          <w:numId w:val="15"/>
        </w:numPr>
        <w:rPr>
          <w:rFonts w:ascii="Garamond" w:hAnsi="Garamond" w:eastAsia="Garamond" w:cs="Garamond"/>
        </w:rPr>
      </w:pPr>
      <w:r>
        <w:rPr>
          <w:rFonts w:eastAsia="Garamond" w:cs="Garamond" w:ascii="Garamond" w:hAnsi="Garamond"/>
          <w:b/>
          <w:bCs/>
        </w:rPr>
        <w:t>Modernizacja dachu Hali Widowiskowo - Sportowej przy ul. Braci Mieroszewskich 91</w:t>
      </w:r>
    </w:p>
    <w:p>
      <w:pPr>
        <w:pStyle w:val="Normal"/>
        <w:ind w:left="720" w:hanging="0"/>
        <w:jc w:val="both"/>
        <w:rPr>
          <w:rFonts w:ascii="Garamond" w:hAnsi="Garamond" w:eastAsia="Garamond" w:cs="Garamond"/>
        </w:rPr>
      </w:pPr>
      <w:r>
        <w:rPr>
          <w:rFonts w:eastAsia="Garamond" w:cs="Garamond" w:ascii="Garamond" w:hAnsi="Garamond"/>
        </w:rPr>
        <w:t>Jednostka zawarła umowę na opracowanie ekspertyzy technicznej i projektu termomodernizacji dachu hali głównej. Powodem była nasilająca się od kilku lat nieszczelność pokrycia dachowego. Dodatkowo, mając na względzie konieczność ograniczania strat cieplnych planujemy termorenowację dachu. Umowny termin opracowania ekspertyzy wraz z projektem to 28.07.2026 roku.</w:t>
      </w:r>
    </w:p>
    <w:p>
      <w:pPr>
        <w:pStyle w:val="Normal"/>
        <w:numPr>
          <w:ilvl w:val="0"/>
          <w:numId w:val="19"/>
        </w:numPr>
        <w:rPr>
          <w:rFonts w:ascii="Garamond" w:hAnsi="Garamond" w:eastAsia="Garamond" w:cs="Garamond"/>
        </w:rPr>
      </w:pPr>
      <w:r>
        <w:rPr>
          <w:rFonts w:eastAsia="Garamond" w:cs="Garamond" w:ascii="Garamond" w:hAnsi="Garamond"/>
          <w:b/>
          <w:bCs/>
        </w:rPr>
        <w:t>Adaptacja części budynku zlokalizowanego na terenie Pływalni Letniej przy ul. 3 Maja 41 w Sosnowcu na Szkołę Mistrzostwa Sportowego dla Koszykarzy</w:t>
      </w:r>
    </w:p>
    <w:p>
      <w:pPr>
        <w:pStyle w:val="Normal"/>
        <w:ind w:left="720" w:hanging="0"/>
        <w:jc w:val="both"/>
        <w:rPr>
          <w:rFonts w:ascii="Garamond" w:hAnsi="Garamond" w:eastAsia="Garamond" w:cs="Garamond"/>
        </w:rPr>
      </w:pPr>
      <w:r>
        <w:rPr>
          <w:rFonts w:eastAsia="Garamond" w:cs="Garamond" w:ascii="Garamond" w:hAnsi="Garamond"/>
        </w:rPr>
        <w:t>Jednostka kontynuuje zadanie rozpoczęte w 2025 roku, którego celem jest adaptacja części budynku znajdującego się na terenie Pływalni Letniej przy ulicy 3 Maja 41 na potrzeby Szkoły Mistrzostwa Sportowego dla koszykarzy. Aktualnie realizowany jest projekt. Obejmie on część budynku, która w przeszłości funkcjonowała jako szkoła mistrzostwa sportowego Polskiego Związku Hokeja na Lodzie, a obecnie jest w dużej mierze wynajmowana przez podmioty gospodarcze i zajmowana przez pracowników obsługi obiektu. Całkowita powierzchnia planowanych prac to blisko 2200 m², z czego około 400 m² to nowa powierzchnia w ramach rozbudowy. W efekcie, po modernizacji budynek zostanie podzielony na trzy główne strefy:</w:t>
      </w:r>
    </w:p>
    <w:p>
      <w:pPr>
        <w:pStyle w:val="Normal"/>
        <w:ind w:left="2160" w:hanging="360"/>
        <w:jc w:val="both"/>
        <w:rPr>
          <w:rFonts w:ascii="Garamond" w:hAnsi="Garamond" w:eastAsia="Garamond" w:cs="Garamond"/>
        </w:rPr>
      </w:pPr>
      <w:r>
        <w:rPr>
          <w:rFonts w:eastAsia="Garamond" w:cs="Garamond" w:ascii="Garamond" w:hAnsi="Garamond"/>
        </w:rPr>
        <w:t xml:space="preserve">●        </w:t>
      </w:r>
      <w:r>
        <w:rPr>
          <w:rFonts w:eastAsia="Garamond" w:cs="Garamond" w:ascii="Garamond" w:hAnsi="Garamond"/>
        </w:rPr>
        <w:t>Strefa szkolna, która będzie zawierać cztery sale lekcyjne, pokój nauczycielski, gabinety, część administracyjną (w tym pokój dyrektora, sekretariat, szatnie, archiwum)</w:t>
      </w:r>
    </w:p>
    <w:p>
      <w:pPr>
        <w:pStyle w:val="Normal"/>
        <w:ind w:left="2160" w:hanging="360"/>
        <w:jc w:val="both"/>
        <w:rPr>
          <w:rFonts w:ascii="Garamond" w:hAnsi="Garamond" w:eastAsia="Garamond" w:cs="Garamond"/>
        </w:rPr>
      </w:pPr>
      <w:r>
        <w:rPr>
          <w:rFonts w:eastAsia="Garamond" w:cs="Garamond" w:ascii="Garamond" w:hAnsi="Garamond"/>
        </w:rPr>
        <w:t xml:space="preserve">●        </w:t>
      </w:r>
      <w:r>
        <w:rPr>
          <w:rFonts w:eastAsia="Garamond" w:cs="Garamond" w:ascii="Garamond" w:hAnsi="Garamond"/>
        </w:rPr>
        <w:t>Strefa bursy przeznaczona dla uczniów i trenerów, gdzie zaplanowano:</w:t>
      </w:r>
    </w:p>
    <w:p>
      <w:pPr>
        <w:pStyle w:val="Normal"/>
        <w:ind w:left="2880" w:hanging="360"/>
        <w:jc w:val="both"/>
        <w:rPr>
          <w:rFonts w:ascii="Garamond" w:hAnsi="Garamond" w:eastAsia="Garamond" w:cs="Garamond"/>
        </w:rPr>
      </w:pPr>
      <w:r>
        <w:rPr>
          <w:rFonts w:eastAsia="Garamond" w:cs="Garamond" w:ascii="Garamond" w:hAnsi="Garamond"/>
        </w:rPr>
        <w:t xml:space="preserve">○        </w:t>
      </w:r>
      <w:r>
        <w:rPr>
          <w:rFonts w:eastAsia="Garamond" w:cs="Garamond" w:ascii="Garamond" w:hAnsi="Garamond"/>
        </w:rPr>
        <w:t>7 pokoi jednoosobowych dla trenerów</w:t>
      </w:r>
    </w:p>
    <w:p>
      <w:pPr>
        <w:pStyle w:val="Normal"/>
        <w:ind w:left="2880" w:hanging="360"/>
        <w:jc w:val="both"/>
        <w:rPr>
          <w:rFonts w:ascii="Garamond" w:hAnsi="Garamond" w:eastAsia="Garamond" w:cs="Garamond"/>
        </w:rPr>
      </w:pPr>
      <w:r>
        <w:rPr>
          <w:rFonts w:eastAsia="Garamond" w:cs="Garamond" w:ascii="Garamond" w:hAnsi="Garamond"/>
        </w:rPr>
        <w:t xml:space="preserve">○        </w:t>
      </w:r>
      <w:r>
        <w:rPr>
          <w:rFonts w:eastAsia="Garamond" w:cs="Garamond" w:ascii="Garamond" w:hAnsi="Garamond"/>
        </w:rPr>
        <w:t>2 izolatki</w:t>
      </w:r>
    </w:p>
    <w:p>
      <w:pPr>
        <w:pStyle w:val="Normal"/>
        <w:ind w:left="2880" w:hanging="360"/>
        <w:jc w:val="both"/>
        <w:rPr>
          <w:rFonts w:ascii="Garamond" w:hAnsi="Garamond" w:eastAsia="Garamond" w:cs="Garamond"/>
        </w:rPr>
      </w:pPr>
      <w:r>
        <w:rPr>
          <w:rFonts w:eastAsia="Garamond" w:cs="Garamond" w:ascii="Garamond" w:hAnsi="Garamond"/>
        </w:rPr>
        <w:t xml:space="preserve">○        </w:t>
      </w:r>
      <w:r>
        <w:rPr>
          <w:rFonts w:eastAsia="Garamond" w:cs="Garamond" w:ascii="Garamond" w:hAnsi="Garamond"/>
        </w:rPr>
        <w:t>13 pokoi 2 - osobowych i 2 pokoje 1 - osobowe dla uczniów</w:t>
      </w:r>
    </w:p>
    <w:p>
      <w:pPr>
        <w:pStyle w:val="Normal"/>
        <w:ind w:left="2880" w:hanging="360"/>
        <w:jc w:val="both"/>
        <w:rPr>
          <w:rFonts w:ascii="Garamond" w:hAnsi="Garamond" w:eastAsia="Garamond" w:cs="Garamond"/>
        </w:rPr>
      </w:pPr>
      <w:r>
        <w:rPr>
          <w:rFonts w:eastAsia="Garamond" w:cs="Garamond" w:ascii="Garamond" w:hAnsi="Garamond"/>
        </w:rPr>
        <w:t xml:space="preserve">○      </w:t>
      </w:r>
      <w:r>
        <w:rPr>
          <w:rFonts w:eastAsia="Garamond" w:cs="Garamond" w:ascii="Garamond" w:hAnsi="Garamond"/>
        </w:rPr>
        <w:t>pomieszczenia pomocnicze, takie jak magazyny na pościel, toalety i pomieszczenia porządkowe.</w:t>
      </w:r>
    </w:p>
    <w:p>
      <w:pPr>
        <w:pStyle w:val="Normal"/>
        <w:ind w:left="2880" w:hanging="360"/>
        <w:jc w:val="both"/>
        <w:rPr>
          <w:rFonts w:ascii="Garamond" w:hAnsi="Garamond" w:eastAsia="Garamond" w:cs="Garamond"/>
        </w:rPr>
      </w:pPr>
      <w:r>
        <w:rPr>
          <w:rFonts w:eastAsia="Garamond" w:cs="Garamond" w:ascii="Garamond" w:hAnsi="Garamond"/>
        </w:rPr>
        <w:t xml:space="preserve">○        </w:t>
      </w:r>
      <w:r>
        <w:rPr>
          <w:rFonts w:eastAsia="Garamond" w:cs="Garamond" w:ascii="Garamond" w:hAnsi="Garamond"/>
        </w:rPr>
        <w:t>świetlicę, jadalnię, rozdzielnię posiłków oraz zaplecze.</w:t>
      </w:r>
    </w:p>
    <w:p>
      <w:pPr>
        <w:pStyle w:val="Normal"/>
        <w:ind w:left="2160" w:hanging="360"/>
        <w:jc w:val="both"/>
        <w:rPr>
          <w:rFonts w:ascii="Garamond" w:hAnsi="Garamond" w:eastAsia="Garamond" w:cs="Garamond"/>
        </w:rPr>
      </w:pPr>
      <w:r>
        <w:rPr>
          <w:rFonts w:eastAsia="Garamond" w:cs="Garamond" w:ascii="Garamond" w:hAnsi="Garamond"/>
        </w:rPr>
        <w:t xml:space="preserve">●        </w:t>
      </w:r>
      <w:r>
        <w:rPr>
          <w:rFonts w:eastAsia="Garamond" w:cs="Garamond" w:ascii="Garamond" w:hAnsi="Garamond"/>
        </w:rPr>
        <w:t>Strefa techniczno-magazynowa gdzie zostaną zmodernizowane magazyny i pomieszczenia dla konserwatorów, których obecne miejsca pracy zostaną zaadaptowane na potrzeby inwestycji.</w:t>
      </w:r>
    </w:p>
    <w:p>
      <w:pPr>
        <w:pStyle w:val="Normal"/>
        <w:ind w:left="720" w:hanging="0"/>
        <w:jc w:val="both"/>
        <w:rPr>
          <w:rFonts w:ascii="Garamond" w:hAnsi="Garamond" w:eastAsia="Garamond" w:cs="Garamond"/>
        </w:rPr>
      </w:pPr>
      <w:r>
        <w:rPr>
          <w:rFonts w:eastAsia="Garamond" w:cs="Garamond" w:ascii="Garamond" w:hAnsi="Garamond"/>
        </w:rPr>
        <w:t>Dodatkowo, w przyziemiu budynku powstanie siłownia.</w:t>
      </w:r>
    </w:p>
    <w:p>
      <w:pPr>
        <w:pStyle w:val="Normal"/>
        <w:ind w:left="720" w:hanging="0"/>
        <w:jc w:val="both"/>
        <w:rPr>
          <w:rFonts w:ascii="Garamond" w:hAnsi="Garamond" w:eastAsia="Garamond" w:cs="Garamond"/>
        </w:rPr>
      </w:pPr>
      <w:r>
        <w:rPr>
          <w:rFonts w:eastAsia="Garamond" w:cs="Garamond" w:ascii="Garamond" w:hAnsi="Garamond"/>
        </w:rPr>
        <w:t>W ramach inwestycji przewidziane są także towarzyszące prace budowlane, w tym: termomodernizacja dachu i elewacji wraz z wymianą stolarki okiennej i drzwiowej w całym budynku, wymiana węzła cieplnego.</w:t>
      </w:r>
    </w:p>
    <w:p>
      <w:pPr>
        <w:pStyle w:val="Normal"/>
        <w:ind w:left="720" w:hanging="0"/>
        <w:jc w:val="both"/>
        <w:rPr>
          <w:rFonts w:ascii="Garamond" w:hAnsi="Garamond" w:eastAsia="Garamond" w:cs="Garamond"/>
        </w:rPr>
      </w:pPr>
      <w:r>
        <w:rPr>
          <w:rFonts w:eastAsia="Garamond" w:cs="Garamond" w:ascii="Garamond" w:hAnsi="Garamond"/>
        </w:rPr>
        <w:t>Projekt obejmie również zmiany w zagospodarowaniu terenu, w tym: wykonanie wejść i rozbiórka schodów terenowych, budowa parkingu, wykonanie zewnętrznego monitoringu i oświetlenia.</w:t>
      </w:r>
    </w:p>
    <w:p>
      <w:pPr>
        <w:pStyle w:val="Normal"/>
        <w:jc w:val="both"/>
        <w:rPr>
          <w:rFonts w:ascii="Garamond" w:hAnsi="Garamond" w:eastAsia="Garamond" w:cs="Garamond"/>
        </w:rPr>
      </w:pPr>
      <w:r>
        <w:rPr>
          <w:rFonts w:eastAsia="Garamond" w:cs="Garamond" w:ascii="Garamond" w:hAnsi="Garamond"/>
        </w:rPr>
        <w:t xml:space="preserve"> </w:t>
      </w:r>
    </w:p>
    <w:p>
      <w:pPr>
        <w:pStyle w:val="Normal"/>
        <w:numPr>
          <w:ilvl w:val="0"/>
          <w:numId w:val="20"/>
        </w:numPr>
        <w:rPr>
          <w:rFonts w:ascii="Garamond" w:hAnsi="Garamond" w:eastAsia="Garamond" w:cs="Garamond"/>
        </w:rPr>
      </w:pPr>
      <w:r>
        <w:rPr>
          <w:rFonts w:eastAsia="Garamond" w:cs="Garamond" w:ascii="Garamond" w:hAnsi="Garamond"/>
          <w:b/>
          <w:bCs/>
        </w:rPr>
        <w:t>Zakup i montaż instalacji OZE dla obiektów MOSiR przy ul. Baczyńskiego 4, ul. Mireckiego 4, ul. Kresowej 1, ul. Orląt Lwowskich 70, ul. 3 Maja 41 w Sosnowcu.</w:t>
      </w:r>
    </w:p>
    <w:p>
      <w:pPr>
        <w:pStyle w:val="Normal"/>
        <w:ind w:left="720" w:hanging="0"/>
        <w:jc w:val="both"/>
        <w:rPr>
          <w:rFonts w:ascii="Garamond" w:hAnsi="Garamond" w:eastAsia="Garamond" w:cs="Garamond"/>
        </w:rPr>
      </w:pPr>
      <w:r>
        <w:rPr>
          <w:rFonts w:eastAsia="Garamond" w:cs="Garamond" w:ascii="Garamond" w:hAnsi="Garamond"/>
        </w:rPr>
        <w:t>Zadanie stanowi kontynuację działań rozpoczętych w 2025 roku i polega na montażu instalacji fotowoltaicznych na terenie obiektów wymienionych w tytule zadania. Dodatkowo część z nich zostanie wyposażona w magazyny energii. Zadanie realizowane jest z wykorzystaniem środków unijnych gdyż gmina uzyskała dofinansowanie w kwocie 747.289,36 zł oraz 99.638,58 zł – współfinansowanie z krajowych środków budżetu państwa w ramach programu Fundusze Europejskie dla Śląskiego 2021-2027 FESL.10 „Fundusze Europejskie na transformację”, Działanie FESL.10.06 „Rozwój energetyki rozproszonej opartej o odnawialne źródła energii”. Udział własny gminy w tym zadaniu wyniesie natomiast 511.935,37 zł. Prace budowlano - montażowe są na ukończeniu.</w:t>
      </w:r>
    </w:p>
    <w:p>
      <w:pPr>
        <w:pStyle w:val="Normal"/>
        <w:jc w:val="both"/>
        <w:rPr>
          <w:rFonts w:ascii="Garamond" w:hAnsi="Garamond" w:eastAsia="Garamond" w:cs="Garamond"/>
        </w:rPr>
      </w:pPr>
      <w:r>
        <w:rPr>
          <w:rFonts w:eastAsia="Garamond" w:cs="Garamond" w:ascii="Garamond" w:hAnsi="Garamond"/>
        </w:rPr>
        <w:t xml:space="preserve"> </w:t>
      </w:r>
    </w:p>
    <w:p>
      <w:pPr>
        <w:pStyle w:val="Normal"/>
        <w:jc w:val="both"/>
        <w:rPr>
          <w:rFonts w:ascii="Garamond" w:hAnsi="Garamond" w:eastAsia="Garamond" w:cs="Garamond"/>
        </w:rPr>
      </w:pPr>
      <w:r>
        <w:rPr>
          <w:rFonts w:eastAsia="Garamond" w:cs="Garamond" w:ascii="Garamond" w:hAnsi="Garamond"/>
        </w:rPr>
        <w:t>Ponadto, W ramach programu „Szatnia na medal – Edycja 2026” gmina złożyła w dniu 26 lutego 2026 roku wniosek o dofinansowanie obejmujący dwa kluczowe zadania remontowe w Hali Widowiskowo-Sportowej przy ul. Braci Mieroszewskich 91 w Sosnowcu. Pierwsze z nich dotyczy remontu zespołu szatniowego na parterze wraz z pomieszczeniami dla trenerów, magazynem sprzętu sportowego oraz strefą odnowy biologicznej, co wiąże się z szacowanymi nakładami w wysokości 546.616,00 zł brutto. Drugie zadanie obejmuje remont zespołu szatniowego na pierwszej kondygnacji obiektu o szacowanej wartości 500.465,00 zł brutto. Łączny szacunkowy kosztorys obu przedsięwzięć wynosi 1.047.081,00 zł brutto, a wnioskowana przez gminę kwota dofinansowania to 425.642,47 zł. Nastąpiło rozstrzygnięcie konkursu przez Ministerstwo Sportu i Turystyki i Gmina otrzymała dofinansowanie w kwocie 425.600,00 zł. Oczekujemy na przygotowanie przez MSiT umowy na dofinansowanie. Będziemy przystępowali do postępowania przetargowego na wybór wykonawcy robót w formule zaprojektuj i wybuduj.</w:t>
      </w:r>
    </w:p>
    <w:p>
      <w:pPr>
        <w:pStyle w:val="Normal"/>
        <w:jc w:val="both"/>
        <w:rPr>
          <w:rFonts w:ascii="Garamond" w:hAnsi="Garamond" w:eastAsia="Garamond" w:cs="Garamond"/>
        </w:rPr>
      </w:pPr>
      <w:r>
        <w:rPr>
          <w:rFonts w:eastAsia="Garamond" w:cs="Garamond" w:ascii="Garamond" w:hAnsi="Garamond"/>
        </w:rPr>
        <w:t xml:space="preserve"> </w:t>
      </w:r>
    </w:p>
    <w:p>
      <w:pPr>
        <w:pStyle w:val="Normal"/>
        <w:jc w:val="both"/>
        <w:rPr>
          <w:rFonts w:ascii="Garamond" w:hAnsi="Garamond" w:eastAsia="Garamond" w:cs="Garamond"/>
        </w:rPr>
      </w:pPr>
      <w:r>
        <w:rPr>
          <w:rFonts w:eastAsia="Garamond" w:cs="Garamond" w:ascii="Garamond" w:hAnsi="Garamond"/>
        </w:rPr>
        <w:t xml:space="preserve"> </w:t>
      </w:r>
    </w:p>
    <w:p>
      <w:pPr>
        <w:pStyle w:val="Normal"/>
        <w:jc w:val="both"/>
        <w:rPr>
          <w:rFonts w:ascii="Garamond" w:hAnsi="Garamond" w:eastAsia="Garamond" w:cs="Garamond"/>
        </w:rPr>
      </w:pPr>
      <w:r>
        <w:rPr>
          <w:rFonts w:eastAsia="Garamond" w:cs="Garamond" w:ascii="Garamond" w:hAnsi="Garamond"/>
        </w:rPr>
        <w:t xml:space="preserve"> </w:t>
      </w:r>
    </w:p>
    <w:p>
      <w:pPr>
        <w:pStyle w:val="Normal"/>
        <w:spacing w:before="0" w:after="200"/>
        <w:jc w:val="both"/>
        <w:rPr>
          <w:rFonts w:ascii="Garamond" w:hAnsi="Garamond" w:eastAsia="Garamond" w:cs="Garamond"/>
        </w:rPr>
      </w:pPr>
      <w:r>
        <w:rPr>
          <w:rFonts w:eastAsia="Garamond" w:cs="Garamond" w:ascii="Garamond" w:hAnsi="Garamond"/>
        </w:rPr>
        <w:t xml:space="preserve"> </w:t>
      </w:r>
    </w:p>
    <w:p>
      <w:pPr>
        <w:pStyle w:val="Normal"/>
        <w:jc w:val="both"/>
        <w:rPr>
          <w:rFonts w:ascii="Garamond" w:hAnsi="Garamond" w:eastAsia="Garamond" w:cs="Garamond"/>
        </w:rPr>
      </w:pPr>
      <w:r>
        <w:rPr>
          <w:rFonts w:eastAsia="Garamond" w:cs="Garamond" w:ascii="Garamond" w:hAnsi="Garamond"/>
        </w:rPr>
      </w:r>
    </w:p>
    <w:p>
      <w:pPr>
        <w:pStyle w:val="Normal"/>
        <w:spacing w:before="0" w:after="200"/>
        <w:jc w:val="both"/>
        <w:rPr/>
      </w:pPr>
      <w:r>
        <w:rPr/>
      </w:r>
    </w:p>
    <w:sectPr>
      <w:type w:val="nextPage"/>
      <w:pgSz w:w="11906" w:h="16838"/>
      <w:pgMar w:left="1133" w:right="1133" w:header="0" w:top="1133" w:footer="0" w:bottom="1133"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ee"/>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Arial">
    <w:charset w:val="ee"/>
    <w:family w:val="roman"/>
    <w:pitch w:val="variable"/>
  </w:font>
  <w:font w:name="Tahoma">
    <w:charset w:val="ee"/>
    <w:family w:val="roman"/>
    <w:pitch w:val="variable"/>
  </w:font>
  <w:font w:name="Garamond">
    <w:charset w:val="ee"/>
    <w:family w:val="roman"/>
    <w:pitch w:val="variable"/>
    <w:embedRegular r:id="rId14" w:fontKey="{0E014A78-CABC-4EF0-12AC-5CD89AEFDE0E}"/>
    <w:embedBold r:id="rId15" w:fontKey="{0F014A78-CABC-4EF0-12AC-5CD89AEFDE0F}"/>
  </w:font>
  <w:font w:name="Liberation Sans">
    <w:altName w:val="Arial"/>
    <w:charset w:val="ee"/>
    <w:family w:val="swiss"/>
    <w:pitch w:val="variable"/>
    <w:embedRegular r:id="rId16" w:fontKey="{10014A78-CABC-4EF0-12AC-5CD89AEFDE10}"/>
    <w:embedBold r:id="rId17" w:fontKey="{11014A78-CABC-4EF0-12AC-5CD89AEFDE11}"/>
    <w:embedItalic r:id="rId18" w:fontKey="{12014A78-CABC-4EF0-12AC-5CD89AEFDE12}"/>
    <w:embedBoldItalic r:id="rId19" w:fontKey="{13014A78-CABC-4EF0-12AC-5CD89AEFDE13}"/>
  </w:font>
  <w:font w:name="Calibri">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decimal"/>
      <w:lvlText w:val="%1."/>
      <w:lvlJc w:val="left"/>
      <w:pPr>
        <w:ind w:left="720" w:hanging="360"/>
      </w:pPr>
      <w:rPr>
        <w:u w:val="none"/>
        <w:rFonts w:ascii="Garamond" w:hAnsi="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4"/>
      <w:numFmt w:val="decimal"/>
      <w:lvlText w:val="%1."/>
      <w:lvlJc w:val="left"/>
      <w:pPr>
        <w:ind w:left="720" w:hanging="360"/>
      </w:pPr>
      <w:rPr>
        <w:u w:val="none"/>
        <w:rFonts w:ascii="Garamond" w:hAnsi="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6"/>
      <w:numFmt w:val="decimal"/>
      <w:lvlText w:val="%1."/>
      <w:lvlJc w:val="left"/>
      <w:pPr>
        <w:ind w:left="720" w:hanging="360"/>
      </w:pPr>
      <w:rPr>
        <w:u w:val="none"/>
        <w:rFonts w:ascii="Garamond" w:hAnsi="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8"/>
      <w:numFmt w:val="decimal"/>
      <w:lvlText w:val="%1."/>
      <w:lvlJc w:val="left"/>
      <w:pPr>
        <w:ind w:left="720" w:hanging="360"/>
      </w:pPr>
      <w:rPr>
        <w:u w:val="none"/>
        <w:rFonts w:ascii="Garamond" w:hAnsi="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2"/>
      <w:numFmt w:val="decimal"/>
      <w:lvlText w:val="%1."/>
      <w:lvlJc w:val="left"/>
      <w:pPr>
        <w:ind w:left="720" w:hanging="360"/>
      </w:pPr>
      <w:rPr>
        <w:u w:val="none"/>
        <w:rFonts w:ascii="Garamond" w:hAnsi="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4"/>
      <w:numFmt w:val="decimal"/>
      <w:lvlText w:val="%1."/>
      <w:lvlJc w:val="left"/>
      <w:pPr>
        <w:ind w:left="720" w:hanging="360"/>
      </w:pPr>
      <w:rPr>
        <w:u w:val="none"/>
        <w:rFonts w:ascii="Garamond" w:hAnsi="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Fonts w:ascii="Garamond" w:hAnsi="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5"/>
      <w:numFmt w:val="decimal"/>
      <w:lvlText w:val="%1."/>
      <w:lvlJc w:val="left"/>
      <w:pPr>
        <w:ind w:left="720" w:hanging="360"/>
      </w:pPr>
      <w:rPr>
        <w:u w:val="none"/>
        <w:rFonts w:ascii="Garamond" w:hAnsi="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7"/>
      <w:numFmt w:val="decimal"/>
      <w:lvlText w:val="%1."/>
      <w:lvlJc w:val="left"/>
      <w:pPr>
        <w:ind w:left="720" w:hanging="360"/>
      </w:pPr>
      <w:rPr>
        <w:u w:val="none"/>
        <w:rFonts w:ascii="Garamond" w:hAnsi="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7"/>
      <w:numFmt w:val="decimal"/>
      <w:lvlText w:val="%1."/>
      <w:lvlJc w:val="left"/>
      <w:pPr>
        <w:ind w:left="720" w:hanging="360"/>
      </w:pPr>
      <w:rPr>
        <w:u w:val="none"/>
        <w:rFonts w:ascii="Garamond" w:hAnsi="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4"/>
      <w:numFmt w:val="decimal"/>
      <w:lvlText w:val="%1."/>
      <w:lvlJc w:val="left"/>
      <w:pPr>
        <w:ind w:left="720" w:hanging="360"/>
      </w:pPr>
      <w:rPr>
        <w:u w:val="none"/>
        <w:rFonts w:ascii="Garamond" w:hAnsi="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3"/>
      <w:numFmt w:val="decimal"/>
      <w:lvlText w:val="%1."/>
      <w:lvlJc w:val="left"/>
      <w:pPr>
        <w:ind w:left="720" w:hanging="360"/>
      </w:pPr>
      <w:rPr>
        <w:u w:val="none"/>
        <w:rFonts w:ascii="Garamond" w:hAnsi="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2"/>
      <w:numFmt w:val="decimal"/>
      <w:lvlText w:val="%1."/>
      <w:lvlJc w:val="left"/>
      <w:pPr>
        <w:ind w:left="720" w:hanging="360"/>
      </w:pPr>
      <w:rPr>
        <w:u w:val="none"/>
        <w:rFonts w:ascii="Garamond" w:hAnsi="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Fonts w:ascii="Garamond" w:hAnsi="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9"/>
      <w:numFmt w:val="decimal"/>
      <w:lvlText w:val="%1."/>
      <w:lvlJc w:val="left"/>
      <w:pPr>
        <w:ind w:left="720" w:hanging="360"/>
      </w:pPr>
      <w:rPr>
        <w:u w:val="none"/>
        <w:rFonts w:ascii="Garamond" w:hAnsi="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5"/>
      <w:numFmt w:val="decimal"/>
      <w:lvlText w:val="%1."/>
      <w:lvlJc w:val="left"/>
      <w:pPr>
        <w:ind w:left="720" w:hanging="360"/>
      </w:pPr>
      <w:rPr>
        <w:u w:val="none"/>
        <w:rFonts w:ascii="Garamond" w:hAnsi="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6"/>
      <w:numFmt w:val="decimal"/>
      <w:lvlText w:val="%1."/>
      <w:lvlJc w:val="left"/>
      <w:pPr>
        <w:ind w:left="720" w:hanging="360"/>
      </w:pPr>
      <w:rPr>
        <w:u w:val="none"/>
        <w:rFonts w:ascii="Garamond" w:hAnsi="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3"/>
      <w:numFmt w:val="decimal"/>
      <w:lvlText w:val="%1."/>
      <w:lvlJc w:val="left"/>
      <w:pPr>
        <w:ind w:left="720" w:hanging="360"/>
      </w:pPr>
      <w:rPr>
        <w:u w:val="none"/>
        <w:rFonts w:ascii="Garamond" w:hAnsi="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0"/>
      <w:numFmt w:val="decimal"/>
      <w:lvlText w:val="%1."/>
      <w:lvlJc w:val="left"/>
      <w:pPr>
        <w:ind w:left="720" w:hanging="360"/>
      </w:pPr>
      <w:rPr>
        <w:u w:val="none"/>
        <w:rFonts w:ascii="Garamond" w:hAnsi="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1"/>
      <w:numFmt w:val="decimal"/>
      <w:lvlText w:val="%1."/>
      <w:lvlJc w:val="left"/>
      <w:pPr>
        <w:ind w:left="720" w:hanging="360"/>
      </w:pPr>
      <w:rPr>
        <w:u w:val="none"/>
        <w:rFonts w:ascii="Garamond" w:hAnsi="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b/>
        <w:rFonts w:ascii="Garamond" w:hAnsi="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8"/>
      <w:numFmt w:val="decimal"/>
      <w:lvlText w:val="%1."/>
      <w:lvlJc w:val="left"/>
      <w:pPr>
        <w:ind w:left="720" w:hanging="360"/>
      </w:pPr>
      <w:rPr>
        <w:u w:val="none"/>
        <w:rFonts w:ascii="Garamond" w:hAnsi="Garamond"/>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w:zoom w:percent="100"/>
  <w:displayBackgroundShape/>
  <w:embedTrueTypeFonts/>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pl" w:eastAsia="pl-PL"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jc w:val="left"/>
    </w:pPr>
    <w:rPr>
      <w:rFonts w:ascii="Arial" w:hAnsi="Arial" w:eastAsia="Arial" w:cs="Arial"/>
      <w:color w:val="auto"/>
      <w:kern w:val="0"/>
      <w:sz w:val="22"/>
      <w:szCs w:val="22"/>
      <w:lang w:val="pl" w:eastAsia="pl-PL" w:bidi="ar-SA"/>
    </w:rPr>
  </w:style>
  <w:style w:type="paragraph" w:styleId="Nagwek1">
    <w:name w:val="Heading 1"/>
    <w:basedOn w:val="Normal"/>
    <w:uiPriority w:val="9"/>
    <w:qFormat/>
    <w:pPr>
      <w:keepNext/>
      <w:keepLines/>
      <w:spacing w:before="400" w:after="120"/>
      <w:outlineLvl w:val="0"/>
    </w:pPr>
    <w:rPr>
      <w:sz w:val="40"/>
      <w:szCs w:val="40"/>
    </w:rPr>
  </w:style>
  <w:style w:type="paragraph" w:styleId="Nagwek2">
    <w:name w:val="Heading 2"/>
    <w:basedOn w:val="Normal"/>
    <w:uiPriority w:val="9"/>
    <w:semiHidden/>
    <w:unhideWhenUsed/>
    <w:qFormat/>
    <w:pPr>
      <w:keepNext/>
      <w:keepLines/>
      <w:spacing w:before="360" w:after="120"/>
      <w:outlineLvl w:val="1"/>
    </w:pPr>
    <w:rPr>
      <w:sz w:val="32"/>
      <w:szCs w:val="32"/>
    </w:rPr>
  </w:style>
  <w:style w:type="paragraph" w:styleId="Nagwek3">
    <w:name w:val="Heading 3"/>
    <w:basedOn w:val="Normal"/>
    <w:uiPriority w:val="9"/>
    <w:semiHidden/>
    <w:unhideWhenUsed/>
    <w:qFormat/>
    <w:pPr>
      <w:keepNext/>
      <w:keepLines/>
      <w:spacing w:before="320" w:after="80"/>
      <w:outlineLvl w:val="2"/>
    </w:pPr>
    <w:rPr>
      <w:color w:val="434343"/>
      <w:sz w:val="28"/>
      <w:szCs w:val="28"/>
    </w:rPr>
  </w:style>
  <w:style w:type="paragraph" w:styleId="Nagwek4">
    <w:name w:val="Heading 4"/>
    <w:basedOn w:val="Normal"/>
    <w:uiPriority w:val="9"/>
    <w:semiHidden/>
    <w:unhideWhenUsed/>
    <w:qFormat/>
    <w:pPr>
      <w:keepNext/>
      <w:keepLines/>
      <w:spacing w:before="280" w:after="80"/>
      <w:outlineLvl w:val="3"/>
    </w:pPr>
    <w:rPr>
      <w:color w:val="666666"/>
      <w:sz w:val="24"/>
      <w:szCs w:val="24"/>
    </w:rPr>
  </w:style>
  <w:style w:type="paragraph" w:styleId="Nagwek5">
    <w:name w:val="Heading 5"/>
    <w:basedOn w:val="Normal"/>
    <w:uiPriority w:val="9"/>
    <w:semiHidden/>
    <w:unhideWhenUsed/>
    <w:qFormat/>
    <w:pPr>
      <w:keepNext/>
      <w:keepLines/>
      <w:spacing w:before="240" w:after="80"/>
      <w:outlineLvl w:val="4"/>
    </w:pPr>
    <w:rPr>
      <w:color w:val="666666"/>
    </w:rPr>
  </w:style>
  <w:style w:type="paragraph" w:styleId="Nagwek6">
    <w:name w:val="Heading 6"/>
    <w:basedOn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qFormat/>
    <w:rPr/>
  </w:style>
  <w:style w:type="character" w:styleId="TekstdymkaZnak" w:customStyle="1">
    <w:name w:val="Tekst dymka Znak"/>
    <w:basedOn w:val="DefaultParagraphFont"/>
    <w:link w:val="Tekstdymka"/>
    <w:uiPriority w:val="99"/>
    <w:semiHidden/>
    <w:qFormat/>
    <w:rsid w:val="001f4549"/>
    <w:rPr>
      <w:rFonts w:ascii="Tahoma" w:hAnsi="Tahoma" w:cs="Tahoma"/>
      <w:sz w:val="16"/>
      <w:szCs w:val="16"/>
    </w:rPr>
  </w:style>
  <w:style w:type="character" w:styleId="ListLabel1">
    <w:name w:val="ListLabel 1"/>
    <w:qFormat/>
    <w:rPr>
      <w:rFonts w:ascii="Garamond" w:hAnsi="Garamond"/>
      <w:u w:val="none"/>
    </w:rPr>
  </w:style>
  <w:style w:type="character" w:styleId="ListLabel2">
    <w:name w:val="ListLabel 2"/>
    <w:qFormat/>
    <w:rPr>
      <w:u w:val="none"/>
    </w:rPr>
  </w:style>
  <w:style w:type="character" w:styleId="ListLabel3">
    <w:name w:val="ListLabel 3"/>
    <w:qFormat/>
    <w:rPr>
      <w:u w:val="none"/>
    </w:rPr>
  </w:style>
  <w:style w:type="character" w:styleId="ListLabel4">
    <w:name w:val="ListLabel 4"/>
    <w:qFormat/>
    <w:rPr>
      <w:u w:val="none"/>
    </w:rPr>
  </w:style>
  <w:style w:type="character" w:styleId="ListLabel5">
    <w:name w:val="ListLabel 5"/>
    <w:qFormat/>
    <w:rPr>
      <w:u w:val="none"/>
    </w:rPr>
  </w:style>
  <w:style w:type="character" w:styleId="ListLabel6">
    <w:name w:val="ListLabel 6"/>
    <w:qFormat/>
    <w:rPr>
      <w:u w:val="none"/>
    </w:rPr>
  </w:style>
  <w:style w:type="character" w:styleId="ListLabel7">
    <w:name w:val="ListLabel 7"/>
    <w:qFormat/>
    <w:rPr>
      <w:u w:val="none"/>
    </w:rPr>
  </w:style>
  <w:style w:type="character" w:styleId="ListLabel8">
    <w:name w:val="ListLabel 8"/>
    <w:qFormat/>
    <w:rPr>
      <w:u w:val="none"/>
    </w:rPr>
  </w:style>
  <w:style w:type="character" w:styleId="ListLabel9">
    <w:name w:val="ListLabel 9"/>
    <w:qFormat/>
    <w:rPr>
      <w:u w:val="none"/>
    </w:rPr>
  </w:style>
  <w:style w:type="character" w:styleId="ListLabel10">
    <w:name w:val="ListLabel 10"/>
    <w:qFormat/>
    <w:rPr>
      <w:rFonts w:ascii="Garamond" w:hAnsi="Garamond"/>
      <w:u w:val="none"/>
    </w:rPr>
  </w:style>
  <w:style w:type="character" w:styleId="ListLabel11">
    <w:name w:val="ListLabel 11"/>
    <w:qFormat/>
    <w:rPr>
      <w:u w:val="none"/>
    </w:rPr>
  </w:style>
  <w:style w:type="character" w:styleId="ListLabel12">
    <w:name w:val="ListLabel 12"/>
    <w:qFormat/>
    <w:rPr>
      <w:u w:val="none"/>
    </w:rPr>
  </w:style>
  <w:style w:type="character" w:styleId="ListLabel13">
    <w:name w:val="ListLabel 13"/>
    <w:qFormat/>
    <w:rPr>
      <w:u w:val="none"/>
    </w:rPr>
  </w:style>
  <w:style w:type="character" w:styleId="ListLabel14">
    <w:name w:val="ListLabel 14"/>
    <w:qFormat/>
    <w:rPr>
      <w:u w:val="none"/>
    </w:rPr>
  </w:style>
  <w:style w:type="character" w:styleId="ListLabel15">
    <w:name w:val="ListLabel 15"/>
    <w:qFormat/>
    <w:rPr>
      <w:u w:val="none"/>
    </w:rPr>
  </w:style>
  <w:style w:type="character" w:styleId="ListLabel16">
    <w:name w:val="ListLabel 16"/>
    <w:qFormat/>
    <w:rPr>
      <w:u w:val="none"/>
    </w:rPr>
  </w:style>
  <w:style w:type="character" w:styleId="ListLabel17">
    <w:name w:val="ListLabel 17"/>
    <w:qFormat/>
    <w:rPr>
      <w:u w:val="none"/>
    </w:rPr>
  </w:style>
  <w:style w:type="character" w:styleId="ListLabel18">
    <w:name w:val="ListLabel 18"/>
    <w:qFormat/>
    <w:rPr>
      <w:u w:val="none"/>
    </w:rPr>
  </w:style>
  <w:style w:type="character" w:styleId="ListLabel19">
    <w:name w:val="ListLabel 19"/>
    <w:qFormat/>
    <w:rPr>
      <w:rFonts w:ascii="Garamond" w:hAnsi="Garamond"/>
      <w:u w:val="none"/>
    </w:rPr>
  </w:style>
  <w:style w:type="character" w:styleId="ListLabel20">
    <w:name w:val="ListLabel 20"/>
    <w:qFormat/>
    <w:rPr>
      <w:u w:val="none"/>
    </w:rPr>
  </w:style>
  <w:style w:type="character" w:styleId="ListLabel21">
    <w:name w:val="ListLabel 21"/>
    <w:qFormat/>
    <w:rPr>
      <w:u w:val="none"/>
    </w:rPr>
  </w:style>
  <w:style w:type="character" w:styleId="ListLabel22">
    <w:name w:val="ListLabel 22"/>
    <w:qFormat/>
    <w:rPr>
      <w:u w:val="none"/>
    </w:rPr>
  </w:style>
  <w:style w:type="character" w:styleId="ListLabel23">
    <w:name w:val="ListLabel 23"/>
    <w:qFormat/>
    <w:rPr>
      <w:u w:val="none"/>
    </w:rPr>
  </w:style>
  <w:style w:type="character" w:styleId="ListLabel24">
    <w:name w:val="ListLabel 24"/>
    <w:qFormat/>
    <w:rPr>
      <w:u w:val="none"/>
    </w:rPr>
  </w:style>
  <w:style w:type="character" w:styleId="ListLabel25">
    <w:name w:val="ListLabel 25"/>
    <w:qFormat/>
    <w:rPr>
      <w:u w:val="none"/>
    </w:rPr>
  </w:style>
  <w:style w:type="character" w:styleId="ListLabel26">
    <w:name w:val="ListLabel 26"/>
    <w:qFormat/>
    <w:rPr>
      <w:u w:val="none"/>
    </w:rPr>
  </w:style>
  <w:style w:type="character" w:styleId="ListLabel27">
    <w:name w:val="ListLabel 27"/>
    <w:qFormat/>
    <w:rPr>
      <w:u w:val="none"/>
    </w:rPr>
  </w:style>
  <w:style w:type="character" w:styleId="ListLabel28">
    <w:name w:val="ListLabel 28"/>
    <w:qFormat/>
    <w:rPr>
      <w:rFonts w:ascii="Garamond" w:hAnsi="Garamond"/>
      <w:u w:val="none"/>
    </w:rPr>
  </w:style>
  <w:style w:type="character" w:styleId="ListLabel29">
    <w:name w:val="ListLabel 29"/>
    <w:qFormat/>
    <w:rPr>
      <w:u w:val="none"/>
    </w:rPr>
  </w:style>
  <w:style w:type="character" w:styleId="ListLabel30">
    <w:name w:val="ListLabel 30"/>
    <w:qFormat/>
    <w:rPr>
      <w:u w:val="none"/>
    </w:rPr>
  </w:style>
  <w:style w:type="character" w:styleId="ListLabel31">
    <w:name w:val="ListLabel 31"/>
    <w:qFormat/>
    <w:rPr>
      <w:u w:val="none"/>
    </w:rPr>
  </w:style>
  <w:style w:type="character" w:styleId="ListLabel32">
    <w:name w:val="ListLabel 32"/>
    <w:qFormat/>
    <w:rPr>
      <w:u w:val="none"/>
    </w:rPr>
  </w:style>
  <w:style w:type="character" w:styleId="ListLabel33">
    <w:name w:val="ListLabel 33"/>
    <w:qFormat/>
    <w:rPr>
      <w:u w:val="none"/>
    </w:rPr>
  </w:style>
  <w:style w:type="character" w:styleId="ListLabel34">
    <w:name w:val="ListLabel 34"/>
    <w:qFormat/>
    <w:rPr>
      <w:u w:val="none"/>
    </w:rPr>
  </w:style>
  <w:style w:type="character" w:styleId="ListLabel35">
    <w:name w:val="ListLabel 35"/>
    <w:qFormat/>
    <w:rPr>
      <w:u w:val="none"/>
    </w:rPr>
  </w:style>
  <w:style w:type="character" w:styleId="ListLabel36">
    <w:name w:val="ListLabel 36"/>
    <w:qFormat/>
    <w:rPr>
      <w:u w:val="none"/>
    </w:rPr>
  </w:style>
  <w:style w:type="character" w:styleId="ListLabel37">
    <w:name w:val="ListLabel 37"/>
    <w:qFormat/>
    <w:rPr>
      <w:rFonts w:ascii="Garamond" w:hAnsi="Garamond"/>
      <w:u w:val="none"/>
    </w:rPr>
  </w:style>
  <w:style w:type="character" w:styleId="ListLabel38">
    <w:name w:val="ListLabel 38"/>
    <w:qFormat/>
    <w:rPr>
      <w:u w:val="none"/>
    </w:rPr>
  </w:style>
  <w:style w:type="character" w:styleId="ListLabel39">
    <w:name w:val="ListLabel 39"/>
    <w:qFormat/>
    <w:rPr>
      <w:u w:val="none"/>
    </w:rPr>
  </w:style>
  <w:style w:type="character" w:styleId="ListLabel40">
    <w:name w:val="ListLabel 40"/>
    <w:qFormat/>
    <w:rPr>
      <w:u w:val="none"/>
    </w:rPr>
  </w:style>
  <w:style w:type="character" w:styleId="ListLabel41">
    <w:name w:val="ListLabel 41"/>
    <w:qFormat/>
    <w:rPr>
      <w:u w:val="none"/>
    </w:rPr>
  </w:style>
  <w:style w:type="character" w:styleId="ListLabel42">
    <w:name w:val="ListLabel 42"/>
    <w:qFormat/>
    <w:rPr>
      <w:u w:val="none"/>
    </w:rPr>
  </w:style>
  <w:style w:type="character" w:styleId="ListLabel43">
    <w:name w:val="ListLabel 43"/>
    <w:qFormat/>
    <w:rPr>
      <w:u w:val="none"/>
    </w:rPr>
  </w:style>
  <w:style w:type="character" w:styleId="ListLabel44">
    <w:name w:val="ListLabel 44"/>
    <w:qFormat/>
    <w:rPr>
      <w:u w:val="none"/>
    </w:rPr>
  </w:style>
  <w:style w:type="character" w:styleId="ListLabel45">
    <w:name w:val="ListLabel 45"/>
    <w:qFormat/>
    <w:rPr>
      <w:u w:val="none"/>
    </w:rPr>
  </w:style>
  <w:style w:type="character" w:styleId="ListLabel46">
    <w:name w:val="ListLabel 46"/>
    <w:qFormat/>
    <w:rPr>
      <w:rFonts w:ascii="Garamond" w:hAnsi="Garamond"/>
      <w:u w:val="none"/>
    </w:rPr>
  </w:style>
  <w:style w:type="character" w:styleId="ListLabel47">
    <w:name w:val="ListLabel 47"/>
    <w:qFormat/>
    <w:rPr>
      <w:u w:val="none"/>
    </w:rPr>
  </w:style>
  <w:style w:type="character" w:styleId="ListLabel48">
    <w:name w:val="ListLabel 48"/>
    <w:qFormat/>
    <w:rPr>
      <w:u w:val="none"/>
    </w:rPr>
  </w:style>
  <w:style w:type="character" w:styleId="ListLabel49">
    <w:name w:val="ListLabel 49"/>
    <w:qFormat/>
    <w:rPr>
      <w:u w:val="none"/>
    </w:rPr>
  </w:style>
  <w:style w:type="character" w:styleId="ListLabel50">
    <w:name w:val="ListLabel 50"/>
    <w:qFormat/>
    <w:rPr>
      <w:u w:val="none"/>
    </w:rPr>
  </w:style>
  <w:style w:type="character" w:styleId="ListLabel51">
    <w:name w:val="ListLabel 51"/>
    <w:qFormat/>
    <w:rPr>
      <w:u w:val="none"/>
    </w:rPr>
  </w:style>
  <w:style w:type="character" w:styleId="ListLabel52">
    <w:name w:val="ListLabel 52"/>
    <w:qFormat/>
    <w:rPr>
      <w:u w:val="none"/>
    </w:rPr>
  </w:style>
  <w:style w:type="character" w:styleId="ListLabel53">
    <w:name w:val="ListLabel 53"/>
    <w:qFormat/>
    <w:rPr>
      <w:u w:val="none"/>
    </w:rPr>
  </w:style>
  <w:style w:type="character" w:styleId="ListLabel54">
    <w:name w:val="ListLabel 54"/>
    <w:qFormat/>
    <w:rPr>
      <w:u w:val="none"/>
    </w:rPr>
  </w:style>
  <w:style w:type="character" w:styleId="ListLabel55">
    <w:name w:val="ListLabel 55"/>
    <w:qFormat/>
    <w:rPr>
      <w:rFonts w:ascii="Garamond" w:hAnsi="Garamond"/>
      <w:u w:val="none"/>
    </w:rPr>
  </w:style>
  <w:style w:type="character" w:styleId="ListLabel56">
    <w:name w:val="ListLabel 56"/>
    <w:qFormat/>
    <w:rPr>
      <w:u w:val="none"/>
    </w:rPr>
  </w:style>
  <w:style w:type="character" w:styleId="ListLabel57">
    <w:name w:val="ListLabel 57"/>
    <w:qFormat/>
    <w:rPr>
      <w:u w:val="none"/>
    </w:rPr>
  </w:style>
  <w:style w:type="character" w:styleId="ListLabel58">
    <w:name w:val="ListLabel 58"/>
    <w:qFormat/>
    <w:rPr>
      <w:u w:val="none"/>
    </w:rPr>
  </w:style>
  <w:style w:type="character" w:styleId="ListLabel59">
    <w:name w:val="ListLabel 59"/>
    <w:qFormat/>
    <w:rPr>
      <w:u w:val="none"/>
    </w:rPr>
  </w:style>
  <w:style w:type="character" w:styleId="ListLabel60">
    <w:name w:val="ListLabel 60"/>
    <w:qFormat/>
    <w:rPr>
      <w:u w:val="none"/>
    </w:rPr>
  </w:style>
  <w:style w:type="character" w:styleId="ListLabel61">
    <w:name w:val="ListLabel 61"/>
    <w:qFormat/>
    <w:rPr>
      <w:u w:val="none"/>
    </w:rPr>
  </w:style>
  <w:style w:type="character" w:styleId="ListLabel62">
    <w:name w:val="ListLabel 62"/>
    <w:qFormat/>
    <w:rPr>
      <w:u w:val="none"/>
    </w:rPr>
  </w:style>
  <w:style w:type="character" w:styleId="ListLabel63">
    <w:name w:val="ListLabel 63"/>
    <w:qFormat/>
    <w:rPr>
      <w:u w:val="none"/>
    </w:rPr>
  </w:style>
  <w:style w:type="character" w:styleId="ListLabel64">
    <w:name w:val="ListLabel 64"/>
    <w:qFormat/>
    <w:rPr>
      <w:rFonts w:ascii="Garamond" w:hAnsi="Garamond"/>
      <w:u w:val="none"/>
    </w:rPr>
  </w:style>
  <w:style w:type="character" w:styleId="ListLabel65">
    <w:name w:val="ListLabel 65"/>
    <w:qFormat/>
    <w:rPr>
      <w:u w:val="none"/>
    </w:rPr>
  </w:style>
  <w:style w:type="character" w:styleId="ListLabel66">
    <w:name w:val="ListLabel 66"/>
    <w:qFormat/>
    <w:rPr>
      <w:u w:val="none"/>
    </w:rPr>
  </w:style>
  <w:style w:type="character" w:styleId="ListLabel67">
    <w:name w:val="ListLabel 67"/>
    <w:qFormat/>
    <w:rPr>
      <w:u w:val="none"/>
    </w:rPr>
  </w:style>
  <w:style w:type="character" w:styleId="ListLabel68">
    <w:name w:val="ListLabel 68"/>
    <w:qFormat/>
    <w:rPr>
      <w:u w:val="none"/>
    </w:rPr>
  </w:style>
  <w:style w:type="character" w:styleId="ListLabel69">
    <w:name w:val="ListLabel 69"/>
    <w:qFormat/>
    <w:rPr>
      <w:u w:val="none"/>
    </w:rPr>
  </w:style>
  <w:style w:type="character" w:styleId="ListLabel70">
    <w:name w:val="ListLabel 70"/>
    <w:qFormat/>
    <w:rPr>
      <w:u w:val="none"/>
    </w:rPr>
  </w:style>
  <w:style w:type="character" w:styleId="ListLabel71">
    <w:name w:val="ListLabel 71"/>
    <w:qFormat/>
    <w:rPr>
      <w:u w:val="none"/>
    </w:rPr>
  </w:style>
  <w:style w:type="character" w:styleId="ListLabel72">
    <w:name w:val="ListLabel 72"/>
    <w:qFormat/>
    <w:rPr>
      <w:u w:val="none"/>
    </w:rPr>
  </w:style>
  <w:style w:type="character" w:styleId="ListLabel73">
    <w:name w:val="ListLabel 73"/>
    <w:qFormat/>
    <w:rPr>
      <w:rFonts w:ascii="Garamond" w:hAnsi="Garamond"/>
      <w:u w:val="none"/>
    </w:rPr>
  </w:style>
  <w:style w:type="character" w:styleId="ListLabel74">
    <w:name w:val="ListLabel 74"/>
    <w:qFormat/>
    <w:rPr>
      <w:u w:val="none"/>
    </w:rPr>
  </w:style>
  <w:style w:type="character" w:styleId="ListLabel75">
    <w:name w:val="ListLabel 75"/>
    <w:qFormat/>
    <w:rPr>
      <w:u w:val="none"/>
    </w:rPr>
  </w:style>
  <w:style w:type="character" w:styleId="ListLabel76">
    <w:name w:val="ListLabel 76"/>
    <w:qFormat/>
    <w:rPr>
      <w:u w:val="none"/>
    </w:rPr>
  </w:style>
  <w:style w:type="character" w:styleId="ListLabel77">
    <w:name w:val="ListLabel 77"/>
    <w:qFormat/>
    <w:rPr>
      <w:u w:val="none"/>
    </w:rPr>
  </w:style>
  <w:style w:type="character" w:styleId="ListLabel78">
    <w:name w:val="ListLabel 78"/>
    <w:qFormat/>
    <w:rPr>
      <w:u w:val="none"/>
    </w:rPr>
  </w:style>
  <w:style w:type="character" w:styleId="ListLabel79">
    <w:name w:val="ListLabel 79"/>
    <w:qFormat/>
    <w:rPr>
      <w:u w:val="none"/>
    </w:rPr>
  </w:style>
  <w:style w:type="character" w:styleId="ListLabel80">
    <w:name w:val="ListLabel 80"/>
    <w:qFormat/>
    <w:rPr>
      <w:u w:val="none"/>
    </w:rPr>
  </w:style>
  <w:style w:type="character" w:styleId="ListLabel81">
    <w:name w:val="ListLabel 81"/>
    <w:qFormat/>
    <w:rPr>
      <w:u w:val="none"/>
    </w:rPr>
  </w:style>
  <w:style w:type="character" w:styleId="ListLabel82">
    <w:name w:val="ListLabel 82"/>
    <w:qFormat/>
    <w:rPr>
      <w:rFonts w:ascii="Garamond" w:hAnsi="Garamond"/>
      <w:u w:val="none"/>
    </w:rPr>
  </w:style>
  <w:style w:type="character" w:styleId="ListLabel83">
    <w:name w:val="ListLabel 83"/>
    <w:qFormat/>
    <w:rPr>
      <w:u w:val="none"/>
    </w:rPr>
  </w:style>
  <w:style w:type="character" w:styleId="ListLabel84">
    <w:name w:val="ListLabel 84"/>
    <w:qFormat/>
    <w:rPr>
      <w:u w:val="none"/>
    </w:rPr>
  </w:style>
  <w:style w:type="character" w:styleId="ListLabel85">
    <w:name w:val="ListLabel 85"/>
    <w:qFormat/>
    <w:rPr>
      <w:u w:val="none"/>
    </w:rPr>
  </w:style>
  <w:style w:type="character" w:styleId="ListLabel86">
    <w:name w:val="ListLabel 86"/>
    <w:qFormat/>
    <w:rPr>
      <w:u w:val="none"/>
    </w:rPr>
  </w:style>
  <w:style w:type="character" w:styleId="ListLabel87">
    <w:name w:val="ListLabel 87"/>
    <w:qFormat/>
    <w:rPr>
      <w:u w:val="none"/>
    </w:rPr>
  </w:style>
  <w:style w:type="character" w:styleId="ListLabel88">
    <w:name w:val="ListLabel 88"/>
    <w:qFormat/>
    <w:rPr>
      <w:u w:val="none"/>
    </w:rPr>
  </w:style>
  <w:style w:type="character" w:styleId="ListLabel89">
    <w:name w:val="ListLabel 89"/>
    <w:qFormat/>
    <w:rPr>
      <w:u w:val="none"/>
    </w:rPr>
  </w:style>
  <w:style w:type="character" w:styleId="ListLabel90">
    <w:name w:val="ListLabel 90"/>
    <w:qFormat/>
    <w:rPr>
      <w:u w:val="none"/>
    </w:rPr>
  </w:style>
  <w:style w:type="character" w:styleId="ListLabel91">
    <w:name w:val="ListLabel 91"/>
    <w:qFormat/>
    <w:rPr>
      <w:rFonts w:ascii="Garamond" w:hAnsi="Garamond"/>
      <w:u w:val="none"/>
    </w:rPr>
  </w:style>
  <w:style w:type="character" w:styleId="ListLabel92">
    <w:name w:val="ListLabel 92"/>
    <w:qFormat/>
    <w:rPr>
      <w:u w:val="none"/>
    </w:rPr>
  </w:style>
  <w:style w:type="character" w:styleId="ListLabel93">
    <w:name w:val="ListLabel 93"/>
    <w:qFormat/>
    <w:rPr>
      <w:u w:val="none"/>
    </w:rPr>
  </w:style>
  <w:style w:type="character" w:styleId="ListLabel94">
    <w:name w:val="ListLabel 94"/>
    <w:qFormat/>
    <w:rPr>
      <w:u w:val="none"/>
    </w:rPr>
  </w:style>
  <w:style w:type="character" w:styleId="ListLabel95">
    <w:name w:val="ListLabel 95"/>
    <w:qFormat/>
    <w:rPr>
      <w:u w:val="none"/>
    </w:rPr>
  </w:style>
  <w:style w:type="character" w:styleId="ListLabel96">
    <w:name w:val="ListLabel 96"/>
    <w:qFormat/>
    <w:rPr>
      <w:u w:val="none"/>
    </w:rPr>
  </w:style>
  <w:style w:type="character" w:styleId="ListLabel97">
    <w:name w:val="ListLabel 97"/>
    <w:qFormat/>
    <w:rPr>
      <w:u w:val="none"/>
    </w:rPr>
  </w:style>
  <w:style w:type="character" w:styleId="ListLabel98">
    <w:name w:val="ListLabel 98"/>
    <w:qFormat/>
    <w:rPr>
      <w:u w:val="none"/>
    </w:rPr>
  </w:style>
  <w:style w:type="character" w:styleId="ListLabel99">
    <w:name w:val="ListLabel 99"/>
    <w:qFormat/>
    <w:rPr>
      <w:u w:val="none"/>
    </w:rPr>
  </w:style>
  <w:style w:type="character" w:styleId="ListLabel100">
    <w:name w:val="ListLabel 100"/>
    <w:qFormat/>
    <w:rPr>
      <w:rFonts w:ascii="Garamond" w:hAnsi="Garamond"/>
      <w:u w:val="none"/>
    </w:rPr>
  </w:style>
  <w:style w:type="character" w:styleId="ListLabel101">
    <w:name w:val="ListLabel 101"/>
    <w:qFormat/>
    <w:rPr>
      <w:u w:val="none"/>
    </w:rPr>
  </w:style>
  <w:style w:type="character" w:styleId="ListLabel102">
    <w:name w:val="ListLabel 102"/>
    <w:qFormat/>
    <w:rPr>
      <w:u w:val="none"/>
    </w:rPr>
  </w:style>
  <w:style w:type="character" w:styleId="ListLabel103">
    <w:name w:val="ListLabel 103"/>
    <w:qFormat/>
    <w:rPr>
      <w:u w:val="none"/>
    </w:rPr>
  </w:style>
  <w:style w:type="character" w:styleId="ListLabel104">
    <w:name w:val="ListLabel 104"/>
    <w:qFormat/>
    <w:rPr>
      <w:u w:val="none"/>
    </w:rPr>
  </w:style>
  <w:style w:type="character" w:styleId="ListLabel105">
    <w:name w:val="ListLabel 105"/>
    <w:qFormat/>
    <w:rPr>
      <w:u w:val="none"/>
    </w:rPr>
  </w:style>
  <w:style w:type="character" w:styleId="ListLabel106">
    <w:name w:val="ListLabel 106"/>
    <w:qFormat/>
    <w:rPr>
      <w:u w:val="none"/>
    </w:rPr>
  </w:style>
  <w:style w:type="character" w:styleId="ListLabel107">
    <w:name w:val="ListLabel 107"/>
    <w:qFormat/>
    <w:rPr>
      <w:u w:val="none"/>
    </w:rPr>
  </w:style>
  <w:style w:type="character" w:styleId="ListLabel108">
    <w:name w:val="ListLabel 108"/>
    <w:qFormat/>
    <w:rPr>
      <w:u w:val="none"/>
    </w:rPr>
  </w:style>
  <w:style w:type="character" w:styleId="ListLabel109">
    <w:name w:val="ListLabel 109"/>
    <w:qFormat/>
    <w:rPr>
      <w:rFonts w:ascii="Garamond" w:hAnsi="Garamond"/>
      <w:u w:val="none"/>
    </w:rPr>
  </w:style>
  <w:style w:type="character" w:styleId="ListLabel110">
    <w:name w:val="ListLabel 110"/>
    <w:qFormat/>
    <w:rPr>
      <w:u w:val="none"/>
    </w:rPr>
  </w:style>
  <w:style w:type="character" w:styleId="ListLabel111">
    <w:name w:val="ListLabel 111"/>
    <w:qFormat/>
    <w:rPr>
      <w:u w:val="none"/>
    </w:rPr>
  </w:style>
  <w:style w:type="character" w:styleId="ListLabel112">
    <w:name w:val="ListLabel 112"/>
    <w:qFormat/>
    <w:rPr>
      <w:u w:val="none"/>
    </w:rPr>
  </w:style>
  <w:style w:type="character" w:styleId="ListLabel113">
    <w:name w:val="ListLabel 113"/>
    <w:qFormat/>
    <w:rPr>
      <w:u w:val="none"/>
    </w:rPr>
  </w:style>
  <w:style w:type="character" w:styleId="ListLabel114">
    <w:name w:val="ListLabel 114"/>
    <w:qFormat/>
    <w:rPr>
      <w:u w:val="none"/>
    </w:rPr>
  </w:style>
  <w:style w:type="character" w:styleId="ListLabel115">
    <w:name w:val="ListLabel 115"/>
    <w:qFormat/>
    <w:rPr>
      <w:u w:val="none"/>
    </w:rPr>
  </w:style>
  <w:style w:type="character" w:styleId="ListLabel116">
    <w:name w:val="ListLabel 116"/>
    <w:qFormat/>
    <w:rPr>
      <w:u w:val="none"/>
    </w:rPr>
  </w:style>
  <w:style w:type="character" w:styleId="ListLabel117">
    <w:name w:val="ListLabel 117"/>
    <w:qFormat/>
    <w:rPr>
      <w:u w:val="none"/>
    </w:rPr>
  </w:style>
  <w:style w:type="character" w:styleId="ListLabel118">
    <w:name w:val="ListLabel 118"/>
    <w:qFormat/>
    <w:rPr>
      <w:rFonts w:ascii="Garamond" w:hAnsi="Garamond"/>
      <w:u w:val="none"/>
    </w:rPr>
  </w:style>
  <w:style w:type="character" w:styleId="ListLabel119">
    <w:name w:val="ListLabel 119"/>
    <w:qFormat/>
    <w:rPr>
      <w:u w:val="none"/>
    </w:rPr>
  </w:style>
  <w:style w:type="character" w:styleId="ListLabel120">
    <w:name w:val="ListLabel 120"/>
    <w:qFormat/>
    <w:rPr>
      <w:u w:val="none"/>
    </w:rPr>
  </w:style>
  <w:style w:type="character" w:styleId="ListLabel121">
    <w:name w:val="ListLabel 121"/>
    <w:qFormat/>
    <w:rPr>
      <w:u w:val="none"/>
    </w:rPr>
  </w:style>
  <w:style w:type="character" w:styleId="ListLabel122">
    <w:name w:val="ListLabel 122"/>
    <w:qFormat/>
    <w:rPr>
      <w:u w:val="none"/>
    </w:rPr>
  </w:style>
  <w:style w:type="character" w:styleId="ListLabel123">
    <w:name w:val="ListLabel 123"/>
    <w:qFormat/>
    <w:rPr>
      <w:u w:val="none"/>
    </w:rPr>
  </w:style>
  <w:style w:type="character" w:styleId="ListLabel124">
    <w:name w:val="ListLabel 124"/>
    <w:qFormat/>
    <w:rPr>
      <w:u w:val="none"/>
    </w:rPr>
  </w:style>
  <w:style w:type="character" w:styleId="ListLabel125">
    <w:name w:val="ListLabel 125"/>
    <w:qFormat/>
    <w:rPr>
      <w:u w:val="none"/>
    </w:rPr>
  </w:style>
  <w:style w:type="character" w:styleId="ListLabel126">
    <w:name w:val="ListLabel 126"/>
    <w:qFormat/>
    <w:rPr>
      <w:u w:val="none"/>
    </w:rPr>
  </w:style>
  <w:style w:type="character" w:styleId="ListLabel127">
    <w:name w:val="ListLabel 127"/>
    <w:qFormat/>
    <w:rPr>
      <w:rFonts w:ascii="Garamond" w:hAnsi="Garamond"/>
      <w:u w:val="none"/>
    </w:rPr>
  </w:style>
  <w:style w:type="character" w:styleId="ListLabel128">
    <w:name w:val="ListLabel 128"/>
    <w:qFormat/>
    <w:rPr>
      <w:u w:val="none"/>
    </w:rPr>
  </w:style>
  <w:style w:type="character" w:styleId="ListLabel129">
    <w:name w:val="ListLabel 129"/>
    <w:qFormat/>
    <w:rPr>
      <w:u w:val="none"/>
    </w:rPr>
  </w:style>
  <w:style w:type="character" w:styleId="ListLabel130">
    <w:name w:val="ListLabel 130"/>
    <w:qFormat/>
    <w:rPr>
      <w:u w:val="none"/>
    </w:rPr>
  </w:style>
  <w:style w:type="character" w:styleId="ListLabel131">
    <w:name w:val="ListLabel 131"/>
    <w:qFormat/>
    <w:rPr>
      <w:u w:val="none"/>
    </w:rPr>
  </w:style>
  <w:style w:type="character" w:styleId="ListLabel132">
    <w:name w:val="ListLabel 132"/>
    <w:qFormat/>
    <w:rPr>
      <w:u w:val="none"/>
    </w:rPr>
  </w:style>
  <w:style w:type="character" w:styleId="ListLabel133">
    <w:name w:val="ListLabel 133"/>
    <w:qFormat/>
    <w:rPr>
      <w:u w:val="none"/>
    </w:rPr>
  </w:style>
  <w:style w:type="character" w:styleId="ListLabel134">
    <w:name w:val="ListLabel 134"/>
    <w:qFormat/>
    <w:rPr>
      <w:u w:val="none"/>
    </w:rPr>
  </w:style>
  <w:style w:type="character" w:styleId="ListLabel135">
    <w:name w:val="ListLabel 135"/>
    <w:qFormat/>
    <w:rPr>
      <w:u w:val="none"/>
    </w:rPr>
  </w:style>
  <w:style w:type="character" w:styleId="ListLabel136">
    <w:name w:val="ListLabel 136"/>
    <w:qFormat/>
    <w:rPr>
      <w:rFonts w:ascii="Garamond" w:hAnsi="Garamond"/>
      <w:u w:val="none"/>
    </w:rPr>
  </w:style>
  <w:style w:type="character" w:styleId="ListLabel137">
    <w:name w:val="ListLabel 137"/>
    <w:qFormat/>
    <w:rPr>
      <w:u w:val="none"/>
    </w:rPr>
  </w:style>
  <w:style w:type="character" w:styleId="ListLabel138">
    <w:name w:val="ListLabel 138"/>
    <w:qFormat/>
    <w:rPr>
      <w:u w:val="none"/>
    </w:rPr>
  </w:style>
  <w:style w:type="character" w:styleId="ListLabel139">
    <w:name w:val="ListLabel 139"/>
    <w:qFormat/>
    <w:rPr>
      <w:u w:val="none"/>
    </w:rPr>
  </w:style>
  <w:style w:type="character" w:styleId="ListLabel140">
    <w:name w:val="ListLabel 140"/>
    <w:qFormat/>
    <w:rPr>
      <w:u w:val="none"/>
    </w:rPr>
  </w:style>
  <w:style w:type="character" w:styleId="ListLabel141">
    <w:name w:val="ListLabel 141"/>
    <w:qFormat/>
    <w:rPr>
      <w:u w:val="none"/>
    </w:rPr>
  </w:style>
  <w:style w:type="character" w:styleId="ListLabel142">
    <w:name w:val="ListLabel 142"/>
    <w:qFormat/>
    <w:rPr>
      <w:u w:val="none"/>
    </w:rPr>
  </w:style>
  <w:style w:type="character" w:styleId="ListLabel143">
    <w:name w:val="ListLabel 143"/>
    <w:qFormat/>
    <w:rPr>
      <w:u w:val="none"/>
    </w:rPr>
  </w:style>
  <w:style w:type="character" w:styleId="ListLabel144">
    <w:name w:val="ListLabel 144"/>
    <w:qFormat/>
    <w:rPr>
      <w:u w:val="none"/>
    </w:rPr>
  </w:style>
  <w:style w:type="character" w:styleId="ListLabel145">
    <w:name w:val="ListLabel 145"/>
    <w:qFormat/>
    <w:rPr>
      <w:rFonts w:ascii="Garamond" w:hAnsi="Garamond"/>
      <w:u w:val="none"/>
    </w:rPr>
  </w:style>
  <w:style w:type="character" w:styleId="ListLabel146">
    <w:name w:val="ListLabel 146"/>
    <w:qFormat/>
    <w:rPr>
      <w:u w:val="none"/>
    </w:rPr>
  </w:style>
  <w:style w:type="character" w:styleId="ListLabel147">
    <w:name w:val="ListLabel 147"/>
    <w:qFormat/>
    <w:rPr>
      <w:u w:val="none"/>
    </w:rPr>
  </w:style>
  <w:style w:type="character" w:styleId="ListLabel148">
    <w:name w:val="ListLabel 148"/>
    <w:qFormat/>
    <w:rPr>
      <w:u w:val="none"/>
    </w:rPr>
  </w:style>
  <w:style w:type="character" w:styleId="ListLabel149">
    <w:name w:val="ListLabel 149"/>
    <w:qFormat/>
    <w:rPr>
      <w:u w:val="none"/>
    </w:rPr>
  </w:style>
  <w:style w:type="character" w:styleId="ListLabel150">
    <w:name w:val="ListLabel 150"/>
    <w:qFormat/>
    <w:rPr>
      <w:u w:val="none"/>
    </w:rPr>
  </w:style>
  <w:style w:type="character" w:styleId="ListLabel151">
    <w:name w:val="ListLabel 151"/>
    <w:qFormat/>
    <w:rPr>
      <w:u w:val="none"/>
    </w:rPr>
  </w:style>
  <w:style w:type="character" w:styleId="ListLabel152">
    <w:name w:val="ListLabel 152"/>
    <w:qFormat/>
    <w:rPr>
      <w:u w:val="none"/>
    </w:rPr>
  </w:style>
  <w:style w:type="character" w:styleId="ListLabel153">
    <w:name w:val="ListLabel 153"/>
    <w:qFormat/>
    <w:rPr>
      <w:u w:val="none"/>
    </w:rPr>
  </w:style>
  <w:style w:type="character" w:styleId="ListLabel154">
    <w:name w:val="ListLabel 154"/>
    <w:qFormat/>
    <w:rPr>
      <w:rFonts w:ascii="Garamond" w:hAnsi="Garamond"/>
      <w:u w:val="none"/>
    </w:rPr>
  </w:style>
  <w:style w:type="character" w:styleId="ListLabel155">
    <w:name w:val="ListLabel 155"/>
    <w:qFormat/>
    <w:rPr>
      <w:u w:val="none"/>
    </w:rPr>
  </w:style>
  <w:style w:type="character" w:styleId="ListLabel156">
    <w:name w:val="ListLabel 156"/>
    <w:qFormat/>
    <w:rPr>
      <w:u w:val="none"/>
    </w:rPr>
  </w:style>
  <w:style w:type="character" w:styleId="ListLabel157">
    <w:name w:val="ListLabel 157"/>
    <w:qFormat/>
    <w:rPr>
      <w:u w:val="none"/>
    </w:rPr>
  </w:style>
  <w:style w:type="character" w:styleId="ListLabel158">
    <w:name w:val="ListLabel 158"/>
    <w:qFormat/>
    <w:rPr>
      <w:u w:val="none"/>
    </w:rPr>
  </w:style>
  <w:style w:type="character" w:styleId="ListLabel159">
    <w:name w:val="ListLabel 159"/>
    <w:qFormat/>
    <w:rPr>
      <w:u w:val="none"/>
    </w:rPr>
  </w:style>
  <w:style w:type="character" w:styleId="ListLabel160">
    <w:name w:val="ListLabel 160"/>
    <w:qFormat/>
    <w:rPr>
      <w:u w:val="none"/>
    </w:rPr>
  </w:style>
  <w:style w:type="character" w:styleId="ListLabel161">
    <w:name w:val="ListLabel 161"/>
    <w:qFormat/>
    <w:rPr>
      <w:u w:val="none"/>
    </w:rPr>
  </w:style>
  <w:style w:type="character" w:styleId="ListLabel162">
    <w:name w:val="ListLabel 162"/>
    <w:qFormat/>
    <w:rPr>
      <w:u w:val="none"/>
    </w:rPr>
  </w:style>
  <w:style w:type="character" w:styleId="ListLabel163">
    <w:name w:val="ListLabel 163"/>
    <w:qFormat/>
    <w:rPr>
      <w:rFonts w:ascii="Garamond" w:hAnsi="Garamond"/>
      <w:u w:val="none"/>
    </w:rPr>
  </w:style>
  <w:style w:type="character" w:styleId="ListLabel164">
    <w:name w:val="ListLabel 164"/>
    <w:qFormat/>
    <w:rPr>
      <w:u w:val="none"/>
    </w:rPr>
  </w:style>
  <w:style w:type="character" w:styleId="ListLabel165">
    <w:name w:val="ListLabel 165"/>
    <w:qFormat/>
    <w:rPr>
      <w:u w:val="none"/>
    </w:rPr>
  </w:style>
  <w:style w:type="character" w:styleId="ListLabel166">
    <w:name w:val="ListLabel 166"/>
    <w:qFormat/>
    <w:rPr>
      <w:u w:val="none"/>
    </w:rPr>
  </w:style>
  <w:style w:type="character" w:styleId="ListLabel167">
    <w:name w:val="ListLabel 167"/>
    <w:qFormat/>
    <w:rPr>
      <w:u w:val="none"/>
    </w:rPr>
  </w:style>
  <w:style w:type="character" w:styleId="ListLabel168">
    <w:name w:val="ListLabel 168"/>
    <w:qFormat/>
    <w:rPr>
      <w:u w:val="none"/>
    </w:rPr>
  </w:style>
  <w:style w:type="character" w:styleId="ListLabel169">
    <w:name w:val="ListLabel 169"/>
    <w:qFormat/>
    <w:rPr>
      <w:u w:val="none"/>
    </w:rPr>
  </w:style>
  <w:style w:type="character" w:styleId="ListLabel170">
    <w:name w:val="ListLabel 170"/>
    <w:qFormat/>
    <w:rPr>
      <w:u w:val="none"/>
    </w:rPr>
  </w:style>
  <w:style w:type="character" w:styleId="ListLabel171">
    <w:name w:val="ListLabel 171"/>
    <w:qFormat/>
    <w:rPr>
      <w:u w:val="none"/>
    </w:rPr>
  </w:style>
  <w:style w:type="character" w:styleId="ListLabel172">
    <w:name w:val="ListLabel 172"/>
    <w:qFormat/>
    <w:rPr>
      <w:rFonts w:ascii="Garamond" w:hAnsi="Garamond"/>
      <w:u w:val="none"/>
    </w:rPr>
  </w:style>
  <w:style w:type="character" w:styleId="ListLabel173">
    <w:name w:val="ListLabel 173"/>
    <w:qFormat/>
    <w:rPr>
      <w:u w:val="none"/>
    </w:rPr>
  </w:style>
  <w:style w:type="character" w:styleId="ListLabel174">
    <w:name w:val="ListLabel 174"/>
    <w:qFormat/>
    <w:rPr>
      <w:u w:val="none"/>
    </w:rPr>
  </w:style>
  <w:style w:type="character" w:styleId="ListLabel175">
    <w:name w:val="ListLabel 175"/>
    <w:qFormat/>
    <w:rPr>
      <w:u w:val="none"/>
    </w:rPr>
  </w:style>
  <w:style w:type="character" w:styleId="ListLabel176">
    <w:name w:val="ListLabel 176"/>
    <w:qFormat/>
    <w:rPr>
      <w:u w:val="none"/>
    </w:rPr>
  </w:style>
  <w:style w:type="character" w:styleId="ListLabel177">
    <w:name w:val="ListLabel 177"/>
    <w:qFormat/>
    <w:rPr>
      <w:u w:val="none"/>
    </w:rPr>
  </w:style>
  <w:style w:type="character" w:styleId="ListLabel178">
    <w:name w:val="ListLabel 178"/>
    <w:qFormat/>
    <w:rPr>
      <w:u w:val="none"/>
    </w:rPr>
  </w:style>
  <w:style w:type="character" w:styleId="ListLabel179">
    <w:name w:val="ListLabel 179"/>
    <w:qFormat/>
    <w:rPr>
      <w:u w:val="none"/>
    </w:rPr>
  </w:style>
  <w:style w:type="character" w:styleId="ListLabel180">
    <w:name w:val="ListLabel 180"/>
    <w:qFormat/>
    <w:rPr>
      <w:u w:val="none"/>
    </w:rPr>
  </w:style>
  <w:style w:type="character" w:styleId="ListLabel181">
    <w:name w:val="ListLabel 181"/>
    <w:qFormat/>
    <w:rPr>
      <w:rFonts w:ascii="Garamond" w:hAnsi="Garamond"/>
      <w:b/>
      <w:u w:val="none"/>
    </w:rPr>
  </w:style>
  <w:style w:type="character" w:styleId="ListLabel182">
    <w:name w:val="ListLabel 182"/>
    <w:qFormat/>
    <w:rPr>
      <w:u w:val="none"/>
    </w:rPr>
  </w:style>
  <w:style w:type="character" w:styleId="ListLabel183">
    <w:name w:val="ListLabel 183"/>
    <w:qFormat/>
    <w:rPr>
      <w:u w:val="none"/>
    </w:rPr>
  </w:style>
  <w:style w:type="character" w:styleId="ListLabel184">
    <w:name w:val="ListLabel 184"/>
    <w:qFormat/>
    <w:rPr>
      <w:u w:val="none"/>
    </w:rPr>
  </w:style>
  <w:style w:type="character" w:styleId="ListLabel185">
    <w:name w:val="ListLabel 185"/>
    <w:qFormat/>
    <w:rPr>
      <w:u w:val="none"/>
    </w:rPr>
  </w:style>
  <w:style w:type="character" w:styleId="ListLabel186">
    <w:name w:val="ListLabel 186"/>
    <w:qFormat/>
    <w:rPr>
      <w:u w:val="none"/>
    </w:rPr>
  </w:style>
  <w:style w:type="character" w:styleId="ListLabel187">
    <w:name w:val="ListLabel 187"/>
    <w:qFormat/>
    <w:rPr>
      <w:u w:val="none"/>
    </w:rPr>
  </w:style>
  <w:style w:type="character" w:styleId="ListLabel188">
    <w:name w:val="ListLabel 188"/>
    <w:qFormat/>
    <w:rPr>
      <w:u w:val="none"/>
    </w:rPr>
  </w:style>
  <w:style w:type="character" w:styleId="ListLabel189">
    <w:name w:val="ListLabel 189"/>
    <w:qFormat/>
    <w:rPr>
      <w:u w:val="none"/>
    </w:rPr>
  </w:style>
  <w:style w:type="character" w:styleId="ListLabel190">
    <w:name w:val="ListLabel 190"/>
    <w:qFormat/>
    <w:rPr>
      <w:rFonts w:ascii="Garamond" w:hAnsi="Garamond"/>
      <w:u w:val="none"/>
    </w:rPr>
  </w:style>
  <w:style w:type="character" w:styleId="ListLabel191">
    <w:name w:val="ListLabel 191"/>
    <w:qFormat/>
    <w:rPr>
      <w:u w:val="none"/>
    </w:rPr>
  </w:style>
  <w:style w:type="character" w:styleId="ListLabel192">
    <w:name w:val="ListLabel 192"/>
    <w:qFormat/>
    <w:rPr>
      <w:u w:val="none"/>
    </w:rPr>
  </w:style>
  <w:style w:type="character" w:styleId="ListLabel193">
    <w:name w:val="ListLabel 193"/>
    <w:qFormat/>
    <w:rPr>
      <w:u w:val="none"/>
    </w:rPr>
  </w:style>
  <w:style w:type="character" w:styleId="ListLabel194">
    <w:name w:val="ListLabel 194"/>
    <w:qFormat/>
    <w:rPr>
      <w:u w:val="none"/>
    </w:rPr>
  </w:style>
  <w:style w:type="character" w:styleId="ListLabel195">
    <w:name w:val="ListLabel 195"/>
    <w:qFormat/>
    <w:rPr>
      <w:u w:val="none"/>
    </w:rPr>
  </w:style>
  <w:style w:type="character" w:styleId="ListLabel196">
    <w:name w:val="ListLabel 196"/>
    <w:qFormat/>
    <w:rPr>
      <w:u w:val="none"/>
    </w:rPr>
  </w:style>
  <w:style w:type="character" w:styleId="ListLabel197">
    <w:name w:val="ListLabel 197"/>
    <w:qFormat/>
    <w:rPr>
      <w:u w:val="none"/>
    </w:rPr>
  </w:style>
  <w:style w:type="character" w:styleId="ListLabel198">
    <w:name w:val="ListLabel 198"/>
    <w:qFormat/>
    <w:rPr>
      <w:u w:val="none"/>
    </w:rPr>
  </w:style>
  <w:style w:type="paragraph" w:styleId="Nagwek">
    <w:name w:val="Nagłówek"/>
    <w:basedOn w:val="Normal"/>
    <w:next w:val="Tretekstu"/>
    <w:qFormat/>
    <w:pPr>
      <w:keepNext/>
      <w:spacing w:before="240" w:after="120"/>
    </w:pPr>
    <w:rPr>
      <w:rFonts w:ascii="Liberation Sans" w:hAnsi="Liberation Sans" w:eastAsia="Microsoft YaHei" w:cs="Arial"/>
      <w:sz w:val="28"/>
      <w:szCs w:val="28"/>
    </w:rPr>
  </w:style>
  <w:style w:type="paragraph" w:styleId="Tretekstu">
    <w:name w:val="Body Text"/>
    <w:basedOn w:val="Normal"/>
    <w:pPr>
      <w:spacing w:lineRule="auto" w:line="288"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Tytu">
    <w:name w:val="Title"/>
    <w:basedOn w:val="Normal"/>
    <w:uiPriority w:val="10"/>
    <w:qFormat/>
    <w:pPr>
      <w:keepNext/>
      <w:keepLines/>
      <w:spacing w:before="0" w:after="60"/>
    </w:pPr>
    <w:rPr>
      <w:sz w:val="52"/>
      <w:szCs w:val="52"/>
    </w:rPr>
  </w:style>
  <w:style w:type="paragraph" w:styleId="Podtytu">
    <w:name w:val="Subtitle"/>
    <w:basedOn w:val="Normal"/>
    <w:uiPriority w:val="11"/>
    <w:qFormat/>
    <w:pPr>
      <w:keepNext/>
      <w:keepLines/>
      <w:spacing w:before="0" w:after="320"/>
    </w:pPr>
    <w:rPr>
      <w:color w:val="666666"/>
      <w:sz w:val="30"/>
      <w:szCs w:val="30"/>
    </w:rPr>
  </w:style>
  <w:style w:type="paragraph" w:styleId="BalloonText">
    <w:name w:val="Balloon Text"/>
    <w:basedOn w:val="Normal"/>
    <w:link w:val="TekstdymkaZnak"/>
    <w:uiPriority w:val="99"/>
    <w:semiHidden/>
    <w:unhideWhenUsed/>
    <w:qFormat/>
    <w:rsid w:val="001f4549"/>
    <w:pPr>
      <w:spacing w:lineRule="auto" w:line="240"/>
    </w:pPr>
    <w:rPr>
      <w:rFonts w:ascii="Tahoma" w:hAnsi="Tahoma" w:cs="Tahoma"/>
      <w:sz w:val="16"/>
      <w:szCs w:val="16"/>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LibreOffice/5.4.1.2$Windows_x86 LibreOffice_project/ea7cb86e6eeb2bf3a5af73a8f7777ac570321527</Application>
  <Pages>3</Pages>
  <Words>2284</Words>
  <Characters>14580</Characters>
  <CharactersWithSpaces>16853</CharactersWithSpaces>
  <Paragraphs>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2026-07-08T08:21:00Z</dcterms:created>
  <dc:creator>Tomasz Soska</dc:creator>
  <dc:description/>
  <dc:language>pl-PL</dc:language>
  <cp:lastModifiedBy>HP</cp:lastModifiedBy>
  <cp:lastPrinted>2026-07-08T06:36:00Z</cp:lastPrinted>
  <dcterms:modified xsi:type="dcterms:W3CDTF">2026-07-08T08:21:00Z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