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KOMISJA ROZWOJU MIASTA I OCHRONY ŚRODOWISKA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Wykonanie budżetu za 2025 rok 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 w:before="0" w:after="0"/>
        <w:rPr>
          <w:b/>
          <w:b/>
          <w:sz w:val="24"/>
          <w:szCs w:val="24"/>
        </w:rPr>
      </w:pPr>
      <w:r>
        <w:rPr>
          <w:sz w:val="24"/>
          <w:szCs w:val="24"/>
        </w:rPr>
        <w:t>Obszar komisji to majątkowa część budżetu miasta.</w:t>
      </w:r>
    </w:p>
    <w:p>
      <w:pPr>
        <w:pStyle w:val="Default"/>
        <w:spacing w:lineRule="auto" w:line="360"/>
        <w:jc w:val="both"/>
        <w:rPr>
          <w:color w:val="00000A"/>
        </w:rPr>
      </w:pPr>
      <w:r>
        <w:rPr>
          <w:color w:val="00000A"/>
        </w:rPr>
        <w:t xml:space="preserve">Wydatki majątkowe, po korektach w ciągu roku budżetowego, zaplanowano w łącznej  wysokości </w:t>
      </w:r>
      <w:r>
        <w:rPr>
          <w:b/>
          <w:bCs/>
          <w:color w:val="00000A"/>
        </w:rPr>
        <w:t>269 831 917,20 zł.</w:t>
      </w:r>
      <w:r>
        <w:rPr>
          <w:color w:val="00000A"/>
        </w:rPr>
        <w:t xml:space="preserve"> Na koniec 2025 roku realizacja wydatków ukształtowała się </w:t>
        <w:br/>
        <w:t xml:space="preserve">na poziomie 74,3%, wydatkowano łącznie </w:t>
      </w:r>
      <w:r>
        <w:rPr>
          <w:b/>
          <w:color w:val="00000A"/>
        </w:rPr>
        <w:t>200 360 881,92 zł</w:t>
      </w:r>
      <w:r>
        <w:rPr>
          <w:color w:val="00000A"/>
        </w:rPr>
        <w:t xml:space="preserve">. Na zadania realizowane </w:t>
        <w:br/>
        <w:t xml:space="preserve">w cyklu jednorocznym przeznaczono 67,4 mln zł, a na przedsięwzięcia wieloletnie </w:t>
        <w:br/>
        <w:t>blisko 133,0 mln zł.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Najwięcej środków zostało wydatkowane na: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inwestycje z obszaru sportu i rekreacji (61,8 mln zł);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inwestycje drogowe (54,6 mln zł);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inwestycje w placówkach oświatowych (16,7 mln zł);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inwestycje związane z gospodarką komunalną (14 mln zł);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inwestycje związane z informatyką (10,9 mln zł);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inwestycje związane z ochroną zdrowia (10,2 mln zł).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Do największych zadań inwestycyjnych pod względem kwot zrealizowanych wydatków należy zaliczyć: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„Kompleksowa przebudowa dróg na terenie gminy Sosnowiec" (ponad 21,6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"Budowa boiska o nawierzchni z trawy syntetycznej wraz z zadaszeniem oraz infrastrukturą towarzyszącą na terenie Kompleksu Rekreacyjno - Sportowego przy ul. Hubala - Dobrzańskiego 99D w Sosnowcu" (niespełna 10,9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"Budowa drogi łączącej ul. Wiązową z ul. Gospodarczą w Sosnowcu wraz z przebudową istniejącej części ul. Gospodarczej oraz przebudową ul. Siennej w ramach zadania "Kompleksowa przebudowa dróg - etap II" (ponad 6,6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"Przebudowa skrzyżowania ul. Wojska Polskiego z ul. Traugutta w Sosnowcu" (prawie 6,2 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"Rozbudowa fragmentu ul. Jana Długosza w Sosnowcu w ramach zadania "Kompleksowa przebudowa dróg - etap II" (ponad 6,1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"Rozbudowa skrzyżowania ul. Wileńskiej z ul. Łukasiewicza i ul. Minerów w Sosnowcu" w ramach zadania "Kompleksowa przebudowa dróg - etap II" (ponad 6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"Budowa sieci kanalizacji deszczowej wraz z przebudową dróg w rejonie ul. A. Fredry i ul. Nowa w Sosnowcu” (ponad 5,5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"Termomodernizacja 8 obiektów edukacyjnych" - część I - Termomodernizacja SP nr 1, nr 3, nr 23 i nr 36 w Sosnowcu" (blisko 4,4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"Budowa żłobka miejskiego przy ul. Kukułek w Sosnowcu" (prawie 3,6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"Budowa boiska wielofunkcyjnego z zadaszeniem przy Szkole Podstawowej nr 25 w Sosnowcu" (ponad 2,4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"Termomodernizacja budynku mieszkalnego przy ul. Staropogońskiej 87 i Malczewskiego 6-8 w Sosnowcu" (blisko 2,3 mln zł);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- "Przebudowa skrzyżowania ul. Wojska Polskiego z ul. Niwecką w Sosnowcu" (ponad 2,1 mln zł).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Wysoki udział w realizacji wydatków majątkowych miało również: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podwyższenie kapitału sosnowieckich spółek, w łącznej kwocie ponad 48,8 mln zł, w tym m. in. dla:</w:t>
      </w:r>
    </w:p>
    <w:p>
      <w:pPr>
        <w:pStyle w:val="Normal"/>
        <w:spacing w:lineRule="auto" w:line="360" w:before="0" w:after="0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- Zagłębiowski Park Sportowy Sp. z o.o. (27,7 mln zł);</w:t>
      </w:r>
    </w:p>
    <w:p>
      <w:pPr>
        <w:pStyle w:val="Normal"/>
        <w:spacing w:lineRule="auto" w:line="360" w:before="0" w:after="0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- Sosnowiecki Szpital Miejski Sp. z o.o. (9,8 mln zł);</w:t>
      </w:r>
    </w:p>
    <w:p>
      <w:pPr>
        <w:pStyle w:val="Normal"/>
        <w:spacing w:lineRule="auto" w:line="360" w:before="0" w:after="0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- Sosnowieckiej Sieci Szerokopasmowej Sp. z o.o. (10,9 mln zł);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objęcie udziałów w łącznej kwocie niespełna 20,4 mln zł, w tym m.in. dla:</w:t>
      </w:r>
    </w:p>
    <w:p>
      <w:pPr>
        <w:pStyle w:val="Normal"/>
        <w:spacing w:lineRule="auto" w:line="360" w:before="0" w:after="0"/>
        <w:ind w:firstLine="284"/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>- Zagłębie Sosnowiec Sp. z o.o. - hokej  (6,6 mln zł);</w:t>
      </w:r>
    </w:p>
    <w:p>
      <w:pPr>
        <w:pStyle w:val="Normal"/>
        <w:spacing w:lineRule="auto" w:line="360" w:before="0" w:after="0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- Zagłębie S.A (13,5 mln zł);</w:t>
      </w:r>
    </w:p>
    <w:p>
      <w:pPr>
        <w:pStyle w:val="Normal"/>
        <w:spacing w:lineRule="auto" w:line="360" w:before="0" w:after="0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</w:t>
      </w:r>
      <w:r>
        <w:rPr>
          <w:b/>
          <w:bCs/>
          <w:sz w:val="24"/>
          <w:szCs w:val="24"/>
        </w:rPr>
        <w:t>dochodów majątkowych</w:t>
      </w:r>
      <w:r>
        <w:rPr>
          <w:sz w:val="24"/>
          <w:szCs w:val="24"/>
        </w:rPr>
        <w:t xml:space="preserve"> w 2025 roku ukształtowała się na poziomie 94,4 %. Uzyskano kwotę </w:t>
      </w:r>
      <w:r>
        <w:rPr>
          <w:b/>
          <w:sz w:val="24"/>
          <w:szCs w:val="24"/>
        </w:rPr>
        <w:t>172 552 622,41 zł</w:t>
      </w:r>
      <w:r>
        <w:rPr>
          <w:sz w:val="24"/>
          <w:szCs w:val="24"/>
        </w:rPr>
        <w:t>, w stosunku do planu rocznego 182 706 142,25 zł.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wykonanie dochodów majątkowych wpływ mają przede wszystkim dochody uzyskane </w:t>
        <w:br/>
        <w:t>ze sprzedaży nieruchomości, dotacji i dofinansowań, jak również z tytułu otrzymanych środków unijnych.</w:t>
      </w:r>
    </w:p>
    <w:p>
      <w:pPr>
        <w:pStyle w:val="Normal"/>
        <w:spacing w:lineRule="auto" w:line="360"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lineRule="auto" w:line="360"/>
        <w:ind w:firstLine="284"/>
        <w:jc w:val="both"/>
        <w:rPr>
          <w:color w:val="00000A"/>
        </w:rPr>
      </w:pPr>
      <w:r>
        <w:rPr>
          <w:color w:val="00000A"/>
        </w:rPr>
        <w:t xml:space="preserve">Dochody z majątku w 2025 roku zostały zrealizowane w kwocie 27 450 520,21 zł, </w:t>
        <w:br/>
        <w:t xml:space="preserve">przy czym: </w:t>
      </w:r>
    </w:p>
    <w:p>
      <w:pPr>
        <w:pStyle w:val="Default"/>
        <w:spacing w:lineRule="auto" w:line="360"/>
        <w:jc w:val="both"/>
        <w:rPr>
          <w:color w:val="00000A"/>
        </w:rPr>
      </w:pPr>
      <w:r>
        <w:rPr>
          <w:color w:val="00000A"/>
        </w:rPr>
        <w:t xml:space="preserve">- wpłaty z tytułu odpłatnego nabycia prawa własności oraz prawa użytkowania wieczystego nieruchomości wyniosły 27 270 927,69 zł;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wpływy ze sprzedaży składników majątkowych wyniosły 177 028,24 zł;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wpływy z tytułu odszkodowania za przejęte nieruchomości pod inwestycje celu publicznego  2 564,28 zł.</w:t>
      </w:r>
    </w:p>
    <w:p>
      <w:pPr>
        <w:pStyle w:val="Default"/>
        <w:spacing w:lineRule="auto" w:line="360"/>
        <w:ind w:firstLine="284"/>
        <w:jc w:val="both"/>
        <w:rPr>
          <w:color w:val="000000" w:themeColor="text1"/>
        </w:rPr>
      </w:pPr>
      <w:r>
        <w:rPr>
          <w:color w:val="00000A"/>
        </w:rPr>
        <w:t xml:space="preserve">Wpływy z tytułu przekształcenia prawa użytkowania wieczystego w prawo własności osiągnęły wartość 1 </w:t>
      </w:r>
      <w:r>
        <w:rPr>
          <w:color w:val="000000" w:themeColor="text1"/>
        </w:rPr>
        <w:t>769 046,84 zł.</w:t>
      </w:r>
    </w:p>
    <w:p>
      <w:pPr>
        <w:pStyle w:val="Normal"/>
        <w:spacing w:lineRule="auto" w:line="360" w:before="0" w:after="0"/>
        <w:ind w:firstLine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ind w:firstLine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Jeśli chodzi o środki unijne pozyskane na inwestycje to w omawianym okresie otrzymano dochód w wysokości 3 656 157,14 zł, do tego środki z budżetu Państwa na wkład krajowy w wysokości 768 184,52 zł, co daje łącznie 4 424 341,66 zł.</w:t>
      </w:r>
    </w:p>
    <w:p>
      <w:pPr>
        <w:pStyle w:val="Normal"/>
        <w:spacing w:lineRule="auto" w:line="360" w:before="0" w:after="0"/>
        <w:ind w:firstLine="284"/>
        <w:jc w:val="both"/>
        <w:rPr>
          <w:color w:val="000000" w:themeColor="text1"/>
          <w:sz w:val="24"/>
          <w:szCs w:val="24"/>
        </w:rPr>
      </w:pPr>
      <w:r>
        <w:rPr>
          <w:color w:val="EE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Ponadto, w 2025 r. pozyskano także inne dofinansowania ze środków zewnętrznych dla zadań inwestycyjnych, w łącznej kwocie ponad 138,9 mln zł, m.in.: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Rządowy Fundusz Polski Ład: Program Inwestycji Strategicznych na realizację zadań inwestycyjnych w kwocie prawie 52,6 mln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Fundusz Dopłat BGK, w tym przede wszystkim na realizację zadania: "Budowa zespołu budynków mieszkalnych wielorodzinnych przy ul. Traugutta i Kalinowej w Sosnowcu" w kwocie około 50 mln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Programu Ochrony Ludności i Obrony Cywilnej w kwocie ponad 9,5 mln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dotacje celowe otrzymane z tytułu pomocy finansowej GZM na realizację zadań inwestycyjnych w łącznej kwocie ponad 12,3 mln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Fundusz Rozwoju Kultury Fizycznej w kwocie ponad 3,9 mln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Program Budowy przyszkolnych hal sportowych - OLIMPIA w kwocie prawie </w:t>
        <w:br/>
        <w:t>2,4 mln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Rządowy Fundusz Rozwoju Dróg w kwocie 2,4 mln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283"/>
        <w:jc w:val="both"/>
        <w:rPr/>
      </w:pPr>
      <w:r>
        <w:rPr>
          <w:color w:val="000000" w:themeColor="text1"/>
          <w:sz w:val="24"/>
          <w:szCs w:val="24"/>
        </w:rPr>
        <w:t>Rządowy Program Odbudowy Zabytków w kwocie 1,9 mln zł.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210" w:hanging="360"/>
      </w:pPr>
      <w:rPr>
        <w:sz w:val="24"/>
        <w:i w:val="false"/>
        <w:b w:val="false"/>
        <w:szCs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4f6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1ec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b w:val="false"/>
      <w:i w:val="false"/>
      <w:sz w:val="24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d28c6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b7349d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1ec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LibreOffice/5.4.1.2$Windows_x86 LibreOffice_project/ea7cb86e6eeb2bf3a5af73a8f7777ac570321527</Application>
  <Pages>3</Pages>
  <Words>786</Words>
  <Characters>4239</Characters>
  <CharactersWithSpaces>4981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2025-04-03T12:53:00Z</dcterms:created>
  <dc:creator>BASIA</dc:creator>
  <dc:description/>
  <dc:language>pl-PL</dc:language>
  <cp:lastModifiedBy>kgromadko</cp:lastModifiedBy>
  <cp:lastPrinted>2025-04-04T07:13:00Z</cp:lastPrinted>
  <dcterms:modified xsi:type="dcterms:W3CDTF">2026-04-08T13:32:00Z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