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AB73" w14:textId="74745167" w:rsidR="004865FF" w:rsidRPr="009B3C1B" w:rsidRDefault="004865FF" w:rsidP="009B3C1B">
      <w:pPr>
        <w:spacing w:after="0" w:line="240" w:lineRule="auto"/>
        <w:rPr>
          <w:rFonts w:ascii="Arial" w:hAnsi="Arial" w:cs="Arial"/>
        </w:rPr>
      </w:pPr>
      <w:r w:rsidRPr="009B3C1B">
        <w:rPr>
          <w:rFonts w:ascii="Arial" w:hAnsi="Arial" w:cs="Arial"/>
        </w:rPr>
        <w:t>BRK.</w:t>
      </w:r>
      <w:r w:rsidR="00DC2AEB" w:rsidRPr="009B3C1B">
        <w:rPr>
          <w:rFonts w:ascii="Arial" w:hAnsi="Arial" w:cs="Arial"/>
        </w:rPr>
        <w:t>0643.</w:t>
      </w:r>
      <w:r w:rsidR="005847F0">
        <w:rPr>
          <w:rFonts w:ascii="Arial" w:hAnsi="Arial" w:cs="Arial"/>
        </w:rPr>
        <w:t>1</w:t>
      </w:r>
      <w:r w:rsidR="00DC2AEB" w:rsidRPr="009B3C1B">
        <w:rPr>
          <w:rFonts w:ascii="Arial" w:hAnsi="Arial" w:cs="Arial"/>
        </w:rPr>
        <w:t>.2025.AP</w:t>
      </w:r>
      <w:r w:rsidRPr="009B3C1B">
        <w:rPr>
          <w:rFonts w:ascii="Arial" w:hAnsi="Arial" w:cs="Arial"/>
        </w:rPr>
        <w:t xml:space="preserve">                                                                         Sosnowiec</w:t>
      </w:r>
      <w:r w:rsidR="00DC2AEB" w:rsidRPr="009B3C1B">
        <w:rPr>
          <w:rFonts w:ascii="Arial" w:hAnsi="Arial" w:cs="Arial"/>
        </w:rPr>
        <w:t>,</w:t>
      </w:r>
      <w:r w:rsidRPr="009B3C1B">
        <w:rPr>
          <w:rFonts w:ascii="Arial" w:hAnsi="Arial" w:cs="Arial"/>
        </w:rPr>
        <w:t xml:space="preserve"> 08.01.2025r.</w:t>
      </w:r>
    </w:p>
    <w:p w14:paraId="449F112B" w14:textId="77777777" w:rsidR="004865FF" w:rsidRPr="009B3C1B" w:rsidRDefault="004865FF" w:rsidP="009B3C1B">
      <w:pPr>
        <w:spacing w:after="0" w:line="240" w:lineRule="auto"/>
        <w:jc w:val="center"/>
        <w:rPr>
          <w:rFonts w:ascii="Arial" w:hAnsi="Arial" w:cs="Arial"/>
        </w:rPr>
      </w:pPr>
    </w:p>
    <w:p w14:paraId="0E358907" w14:textId="0DFD2C74" w:rsidR="00931B97" w:rsidRPr="009B3C1B" w:rsidRDefault="00AB5FB9" w:rsidP="009B3C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 xml:space="preserve">DZIAŁALNOŚĆ </w:t>
      </w:r>
    </w:p>
    <w:p w14:paraId="4FC7CEE4" w14:textId="77777777" w:rsidR="00931B97" w:rsidRPr="009B3C1B" w:rsidRDefault="00AB5FB9" w:rsidP="009B3C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MIEJSKIEGO RZECZNIKA KONSUMENTÓW W</w:t>
      </w:r>
      <w:r w:rsidR="00241A1E" w:rsidRPr="009B3C1B">
        <w:rPr>
          <w:rFonts w:ascii="Arial" w:hAnsi="Arial" w:cs="Arial"/>
          <w:b/>
          <w:bCs/>
        </w:rPr>
        <w:t> </w:t>
      </w:r>
      <w:r w:rsidRPr="009B3C1B">
        <w:rPr>
          <w:rFonts w:ascii="Arial" w:hAnsi="Arial" w:cs="Arial"/>
          <w:b/>
          <w:bCs/>
        </w:rPr>
        <w:t xml:space="preserve">SOSNOWCU </w:t>
      </w:r>
    </w:p>
    <w:p w14:paraId="14340E7A" w14:textId="1AF1F81A" w:rsidR="00AB5FB9" w:rsidRPr="009B3C1B" w:rsidRDefault="00AB5FB9" w:rsidP="009B3C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W LATACH 2023-2024.</w:t>
      </w:r>
    </w:p>
    <w:p w14:paraId="513D7945" w14:textId="2885A62F" w:rsidR="00CF46BE" w:rsidRPr="009B3C1B" w:rsidRDefault="00CF46BE" w:rsidP="009B3C1B">
      <w:pPr>
        <w:spacing w:line="240" w:lineRule="auto"/>
        <w:rPr>
          <w:rFonts w:ascii="Arial" w:hAnsi="Arial" w:cs="Arial"/>
        </w:rPr>
      </w:pPr>
    </w:p>
    <w:p w14:paraId="39D382CC" w14:textId="77777777" w:rsidR="00B4664B" w:rsidRPr="009B3C1B" w:rsidRDefault="00B4664B" w:rsidP="009B3C1B">
      <w:pPr>
        <w:spacing w:line="240" w:lineRule="auto"/>
        <w:rPr>
          <w:rFonts w:ascii="Arial" w:hAnsi="Arial" w:cs="Arial"/>
        </w:rPr>
      </w:pPr>
    </w:p>
    <w:p w14:paraId="4DDD58B3" w14:textId="50E24DCF" w:rsidR="00AB5FB9" w:rsidRPr="009B3C1B" w:rsidRDefault="00B4664B" w:rsidP="009B3C1B">
      <w:pPr>
        <w:spacing w:line="240" w:lineRule="auto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 xml:space="preserve">I. </w:t>
      </w:r>
      <w:r w:rsidR="00AB5FB9" w:rsidRPr="009B3C1B">
        <w:rPr>
          <w:rFonts w:ascii="Arial" w:hAnsi="Arial" w:cs="Arial"/>
          <w:b/>
          <w:bCs/>
        </w:rPr>
        <w:t>Zapewnienie bezpłatnego poradnictwa i informacji prawnej w zakresie ochrony interesów konsumentów  w roku 2023 i 2024.</w:t>
      </w:r>
    </w:p>
    <w:p w14:paraId="287D4AFB" w14:textId="3FA629F0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</w:t>
      </w:r>
      <w:r w:rsidRPr="009B3C1B">
        <w:rPr>
          <w:rFonts w:ascii="Arial" w:hAnsi="Arial" w:cs="Arial"/>
          <w:b/>
          <w:bCs/>
        </w:rPr>
        <w:t>2023r.</w:t>
      </w:r>
      <w:r w:rsidRPr="009B3C1B">
        <w:rPr>
          <w:rFonts w:ascii="Arial" w:hAnsi="Arial" w:cs="Arial"/>
        </w:rPr>
        <w:t xml:space="preserve"> z porad rzecznika skorzystało </w:t>
      </w:r>
      <w:r w:rsidRPr="009B3C1B">
        <w:rPr>
          <w:rFonts w:ascii="Arial" w:hAnsi="Arial" w:cs="Arial"/>
          <w:b/>
          <w:bCs/>
        </w:rPr>
        <w:t xml:space="preserve">2195 </w:t>
      </w:r>
      <w:r w:rsidRPr="009B3C1B">
        <w:rPr>
          <w:rFonts w:ascii="Arial" w:hAnsi="Arial" w:cs="Arial"/>
        </w:rPr>
        <w:t xml:space="preserve">konsumentów, a łącznie do biura (po różnego rodzaju informacje, w tym także w toczących się sprawach) zgłosiły się </w:t>
      </w:r>
      <w:r w:rsidRPr="009B3C1B">
        <w:rPr>
          <w:rFonts w:ascii="Arial" w:hAnsi="Arial" w:cs="Arial"/>
          <w:b/>
          <w:bCs/>
        </w:rPr>
        <w:t>2654</w:t>
      </w:r>
      <w:r w:rsidRPr="009B3C1B">
        <w:rPr>
          <w:rFonts w:ascii="Arial" w:hAnsi="Arial" w:cs="Arial"/>
        </w:rPr>
        <w:t xml:space="preserve"> osoby. </w:t>
      </w:r>
      <w:r w:rsidR="0092245D" w:rsidRPr="009B3C1B">
        <w:rPr>
          <w:rFonts w:ascii="Arial" w:hAnsi="Arial" w:cs="Arial"/>
        </w:rPr>
        <w:t xml:space="preserve">Natomiast w roku </w:t>
      </w:r>
      <w:r w:rsidR="0092245D" w:rsidRPr="009B3C1B">
        <w:rPr>
          <w:rFonts w:ascii="Arial" w:hAnsi="Arial" w:cs="Arial"/>
          <w:b/>
          <w:bCs/>
        </w:rPr>
        <w:t xml:space="preserve">2024 </w:t>
      </w:r>
      <w:r w:rsidR="0092245D" w:rsidRPr="009B3C1B">
        <w:rPr>
          <w:rFonts w:ascii="Arial" w:hAnsi="Arial" w:cs="Arial"/>
        </w:rPr>
        <w:t xml:space="preserve">nastąpił wzrost porad o 176 – co daje sumę </w:t>
      </w:r>
      <w:r w:rsidR="0092245D" w:rsidRPr="009B3C1B">
        <w:rPr>
          <w:rFonts w:ascii="Arial" w:hAnsi="Arial" w:cs="Arial"/>
          <w:b/>
          <w:bCs/>
        </w:rPr>
        <w:t>2371</w:t>
      </w:r>
      <w:r w:rsidR="0092245D" w:rsidRPr="009B3C1B">
        <w:rPr>
          <w:rFonts w:ascii="Arial" w:hAnsi="Arial" w:cs="Arial"/>
        </w:rPr>
        <w:t xml:space="preserve">, a także liczby osób zgłaszających </w:t>
      </w:r>
      <w:r w:rsidR="00B4664B" w:rsidRPr="009B3C1B">
        <w:rPr>
          <w:rFonts w:ascii="Arial" w:hAnsi="Arial" w:cs="Arial"/>
        </w:rPr>
        <w:t xml:space="preserve">się </w:t>
      </w:r>
      <w:r w:rsidR="0092245D" w:rsidRPr="009B3C1B">
        <w:rPr>
          <w:rFonts w:ascii="Arial" w:hAnsi="Arial" w:cs="Arial"/>
        </w:rPr>
        <w:t xml:space="preserve">po informacje o 767, co w sumie </w:t>
      </w:r>
      <w:r w:rsidR="00140ACE" w:rsidRPr="009B3C1B">
        <w:rPr>
          <w:rFonts w:ascii="Arial" w:hAnsi="Arial" w:cs="Arial"/>
        </w:rPr>
        <w:t>dało</w:t>
      </w:r>
      <w:r w:rsidR="0092245D" w:rsidRPr="009B3C1B">
        <w:rPr>
          <w:rFonts w:ascii="Arial" w:hAnsi="Arial" w:cs="Arial"/>
        </w:rPr>
        <w:t xml:space="preserve"> </w:t>
      </w:r>
      <w:r w:rsidR="0092245D" w:rsidRPr="009B3C1B">
        <w:rPr>
          <w:rFonts w:ascii="Arial" w:hAnsi="Arial" w:cs="Arial"/>
          <w:b/>
          <w:bCs/>
        </w:rPr>
        <w:t>3421</w:t>
      </w:r>
      <w:r w:rsidR="00140ACE" w:rsidRPr="009B3C1B">
        <w:rPr>
          <w:rFonts w:ascii="Arial" w:hAnsi="Arial" w:cs="Arial"/>
        </w:rPr>
        <w:t xml:space="preserve"> porad i informacji</w:t>
      </w:r>
      <w:r w:rsidR="0092245D" w:rsidRPr="009B3C1B">
        <w:rPr>
          <w:rFonts w:ascii="Arial" w:hAnsi="Arial" w:cs="Arial"/>
        </w:rPr>
        <w:t xml:space="preserve">. </w:t>
      </w:r>
      <w:r w:rsidRPr="009B3C1B">
        <w:rPr>
          <w:rFonts w:ascii="Arial" w:hAnsi="Arial" w:cs="Arial"/>
        </w:rPr>
        <w:t xml:space="preserve">W roku 2023 </w:t>
      </w:r>
      <w:r w:rsidR="0092245D" w:rsidRPr="009B3C1B">
        <w:rPr>
          <w:rFonts w:ascii="Arial" w:hAnsi="Arial" w:cs="Arial"/>
        </w:rPr>
        <w:t>wyraźnie</w:t>
      </w:r>
      <w:r w:rsidRPr="009B3C1B">
        <w:rPr>
          <w:rFonts w:ascii="Arial" w:hAnsi="Arial" w:cs="Arial"/>
        </w:rPr>
        <w:t xml:space="preserve"> widoczn</w:t>
      </w:r>
      <w:r w:rsidR="0092245D" w:rsidRPr="009B3C1B">
        <w:rPr>
          <w:rFonts w:ascii="Arial" w:hAnsi="Arial" w:cs="Arial"/>
        </w:rPr>
        <w:t>ym sektorem były usługi transportowe, w szczególności</w:t>
      </w:r>
      <w:r w:rsidRPr="009B3C1B">
        <w:rPr>
          <w:rFonts w:ascii="Arial" w:hAnsi="Arial" w:cs="Arial"/>
        </w:rPr>
        <w:t xml:space="preserve"> parkingow</w:t>
      </w:r>
      <w:r w:rsidR="0092245D" w:rsidRPr="009B3C1B">
        <w:rPr>
          <w:rFonts w:ascii="Arial" w:hAnsi="Arial" w:cs="Arial"/>
        </w:rPr>
        <w:t>e</w:t>
      </w:r>
      <w:r w:rsidRPr="009B3C1B">
        <w:rPr>
          <w:rFonts w:ascii="Arial" w:hAnsi="Arial" w:cs="Arial"/>
        </w:rPr>
        <w:t xml:space="preserve"> oraz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energetyczn</w:t>
      </w:r>
      <w:r w:rsidR="0092245D" w:rsidRPr="009B3C1B">
        <w:rPr>
          <w:rFonts w:ascii="Arial" w:hAnsi="Arial" w:cs="Arial"/>
        </w:rPr>
        <w:t>e</w:t>
      </w:r>
      <w:r w:rsidRPr="009B3C1B">
        <w:rPr>
          <w:rFonts w:ascii="Arial" w:hAnsi="Arial" w:cs="Arial"/>
        </w:rPr>
        <w:t>.</w:t>
      </w:r>
      <w:r w:rsidR="0092245D" w:rsidRPr="009B3C1B">
        <w:rPr>
          <w:rFonts w:ascii="Arial" w:hAnsi="Arial" w:cs="Arial"/>
        </w:rPr>
        <w:t xml:space="preserve"> W 2024 roku trend i zapotrzebowanie na porady w sektorze transportowo – parkingowym utrzymał się. </w:t>
      </w:r>
      <w:r w:rsidRPr="009B3C1B">
        <w:rPr>
          <w:rFonts w:ascii="Arial" w:hAnsi="Arial" w:cs="Arial"/>
        </w:rPr>
        <w:t xml:space="preserve"> W roku 2023</w:t>
      </w:r>
      <w:r w:rsidR="0092245D" w:rsidRPr="009B3C1B">
        <w:rPr>
          <w:rFonts w:ascii="Arial" w:hAnsi="Arial" w:cs="Arial"/>
        </w:rPr>
        <w:t xml:space="preserve"> i 2024</w:t>
      </w:r>
      <w:r w:rsidRPr="009B3C1B">
        <w:rPr>
          <w:rFonts w:ascii="Arial" w:hAnsi="Arial" w:cs="Arial"/>
        </w:rPr>
        <w:t xml:space="preserve"> </w:t>
      </w:r>
      <w:r w:rsidR="0092245D" w:rsidRPr="009B3C1B">
        <w:rPr>
          <w:rFonts w:ascii="Arial" w:hAnsi="Arial" w:cs="Arial"/>
        </w:rPr>
        <w:t xml:space="preserve">podobnie kształtowała się ilość </w:t>
      </w:r>
      <w:r w:rsidRPr="009B3C1B">
        <w:rPr>
          <w:rFonts w:ascii="Arial" w:hAnsi="Arial" w:cs="Arial"/>
        </w:rPr>
        <w:t>porad dotycząca odzieży i obuwia</w:t>
      </w:r>
      <w:r w:rsidR="0092245D" w:rsidRPr="009B3C1B">
        <w:rPr>
          <w:rFonts w:ascii="Arial" w:hAnsi="Arial" w:cs="Arial"/>
        </w:rPr>
        <w:t>, z niewielkim wzrostem w roku 2024. Warto także dodać, że</w:t>
      </w:r>
      <w:r w:rsidR="007E5B22" w:rsidRPr="009B3C1B">
        <w:rPr>
          <w:rFonts w:ascii="Arial" w:hAnsi="Arial" w:cs="Arial"/>
        </w:rPr>
        <w:t> </w:t>
      </w:r>
      <w:r w:rsidR="0092245D" w:rsidRPr="009B3C1B">
        <w:rPr>
          <w:rFonts w:ascii="Arial" w:hAnsi="Arial" w:cs="Arial"/>
        </w:rPr>
        <w:t>kategoria sektorowa dotyczy nie tylko samego obuwia, ale także odzieży</w:t>
      </w:r>
      <w:r w:rsidR="00140ACE" w:rsidRPr="009B3C1B">
        <w:rPr>
          <w:rFonts w:ascii="Arial" w:hAnsi="Arial" w:cs="Arial"/>
        </w:rPr>
        <w:t xml:space="preserve"> i rozkłada się mniej więcej po połowie z niewielką przewagą na rzecz obuwia. </w:t>
      </w:r>
      <w:r w:rsidRPr="009B3C1B">
        <w:rPr>
          <w:rFonts w:ascii="Arial" w:hAnsi="Arial" w:cs="Arial"/>
        </w:rPr>
        <w:t xml:space="preserve"> Utrzymywał się trend braku zgłoszeń dotyczących zwykłego miejskiego i wizytowego obuwia z popularnych i dużych </w:t>
      </w:r>
      <w:proofErr w:type="spellStart"/>
      <w:r w:rsidRPr="009B3C1B">
        <w:rPr>
          <w:rFonts w:ascii="Arial" w:hAnsi="Arial" w:cs="Arial"/>
        </w:rPr>
        <w:t>sieciówek</w:t>
      </w:r>
      <w:proofErr w:type="spellEnd"/>
      <w:r w:rsidRPr="009B3C1B">
        <w:rPr>
          <w:rFonts w:ascii="Arial" w:hAnsi="Arial" w:cs="Arial"/>
        </w:rPr>
        <w:t>, które od lat były najczęstsze. Aktualnie w branży obuwniczej zgłaszane problemy dotyczą głównie tzw. markowego obuwia sportowego.</w:t>
      </w:r>
      <w:r w:rsidR="00140ACE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>Od kilku lat ta branż</w:t>
      </w:r>
      <w:r w:rsidR="00140ACE" w:rsidRPr="009B3C1B">
        <w:rPr>
          <w:rFonts w:ascii="Arial" w:hAnsi="Arial" w:cs="Arial"/>
        </w:rPr>
        <w:t>a obuwnicza</w:t>
      </w:r>
      <w:r w:rsidRPr="009B3C1B">
        <w:rPr>
          <w:rFonts w:ascii="Arial" w:hAnsi="Arial" w:cs="Arial"/>
        </w:rPr>
        <w:t xml:space="preserve"> w</w:t>
      </w:r>
      <w:r w:rsidR="007E5B22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zakresie porad traci na popularności. W roku 2023 odnotowano również sporą ilość porad z</w:t>
      </w:r>
      <w:r w:rsidR="007E5B22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sektora energetycznego, wynikającą ze zmiany systemu rozliczeniowego przedsiębiorstwa energetycznego, opóźnień w wstawianiu faktur, problemów ze zrozumieniem rozliczeń i faktur po stronie konsumentów oraz nieumiejętnością udzielenia wyjaśnień przez przedsiębiorstwo. Sporo zastrzeżeń dotyczących rozliczeń dotyczyło także sektora </w:t>
      </w:r>
      <w:proofErr w:type="spellStart"/>
      <w:r w:rsidRPr="009B3C1B">
        <w:rPr>
          <w:rFonts w:ascii="Arial" w:hAnsi="Arial" w:cs="Arial"/>
        </w:rPr>
        <w:t>prosumenckiego</w:t>
      </w:r>
      <w:proofErr w:type="spellEnd"/>
      <w:r w:rsidRPr="009B3C1B">
        <w:rPr>
          <w:rFonts w:ascii="Arial" w:hAnsi="Arial" w:cs="Arial"/>
        </w:rPr>
        <w:t>, wynikających ze zmienionych zasad rozliczania energii pobranej i oddanej do sieci energetycznej. W tej branży wyraźnie widoczny jest brak wiedzy przeciętnego konsumenta o</w:t>
      </w:r>
      <w:r w:rsidR="007E5B22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funkcjonowaniu, rozliczaniu energii elektrycznej z odnawialnych źródeł energii. Wielu konsumentów zakładało, często w oparciu o błędne informacje przedsiębiorców sprzedających instalacje fotowoltaiczne i pompy ciepła, że będą płacić niższe rachunki oraz że inwestycja w</w:t>
      </w:r>
      <w:r w:rsidR="007E5B22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OZE w szybkim okresie się zwróci. </w:t>
      </w:r>
      <w:r w:rsidR="00140ACE" w:rsidRPr="009B3C1B">
        <w:rPr>
          <w:rFonts w:ascii="Arial" w:hAnsi="Arial" w:cs="Arial"/>
        </w:rPr>
        <w:t>W 2024 roku podobnych problemów nie odnotowano i</w:t>
      </w:r>
      <w:r w:rsidR="007E5B22" w:rsidRPr="009B3C1B">
        <w:rPr>
          <w:rFonts w:ascii="Arial" w:hAnsi="Arial" w:cs="Arial"/>
        </w:rPr>
        <w:t> </w:t>
      </w:r>
      <w:r w:rsidR="00140ACE" w:rsidRPr="009B3C1B">
        <w:rPr>
          <w:rFonts w:ascii="Arial" w:hAnsi="Arial" w:cs="Arial"/>
        </w:rPr>
        <w:t>o</w:t>
      </w:r>
      <w:r w:rsidR="007E5B22" w:rsidRPr="009B3C1B">
        <w:rPr>
          <w:rFonts w:ascii="Arial" w:hAnsi="Arial" w:cs="Arial"/>
        </w:rPr>
        <w:t> </w:t>
      </w:r>
      <w:r w:rsidR="00140ACE" w:rsidRPr="009B3C1B">
        <w:rPr>
          <w:rFonts w:ascii="Arial" w:hAnsi="Arial" w:cs="Arial"/>
        </w:rPr>
        <w:t xml:space="preserve">połowę zmniejszyło się zapotrzebowanie na porady  z omawianego sektora. </w:t>
      </w:r>
      <w:r w:rsidR="007B53E2" w:rsidRPr="009B3C1B">
        <w:rPr>
          <w:rFonts w:ascii="Arial" w:hAnsi="Arial" w:cs="Arial"/>
        </w:rPr>
        <w:t xml:space="preserve">Widoczne są także zgłoszenia konsumentów dot. umów zawieranych na odległość często z zagranicznymi podmiotami zwłaszcza azjatyckimi w modelu tzw. </w:t>
      </w:r>
      <w:proofErr w:type="spellStart"/>
      <w:r w:rsidR="007B53E2" w:rsidRPr="009B3C1B">
        <w:rPr>
          <w:rFonts w:ascii="Arial" w:hAnsi="Arial" w:cs="Arial"/>
        </w:rPr>
        <w:t>dropshipingu</w:t>
      </w:r>
      <w:proofErr w:type="spellEnd"/>
      <w:r w:rsidR="007B53E2" w:rsidRPr="009B3C1B">
        <w:rPr>
          <w:rFonts w:ascii="Arial" w:hAnsi="Arial" w:cs="Arial"/>
        </w:rPr>
        <w:t xml:space="preserve"> lub za pośrednictwem stron, linków udostępnianych/reklamowanych na portalach społecznościowych lub w drodze streamingu. Najczęściej konsumenci nie maja wiedzy z kim zawarli umowy, lub taka wiedzę posiadają, ale sprzedawcy nie są polskimi firmami, co uniemożliwia skuteczne dochodzenie roszczeń. </w:t>
      </w:r>
      <w:r w:rsidR="008533BB" w:rsidRPr="009B3C1B">
        <w:rPr>
          <w:rFonts w:ascii="Arial" w:hAnsi="Arial" w:cs="Arial"/>
        </w:rPr>
        <w:t>Wyraźnie na przestrzeni ostatnich lat zmalała ilość porad dotycząca umów poza lokalem przedsiębiorstwa.</w:t>
      </w:r>
    </w:p>
    <w:p w14:paraId="3DB41C52" w14:textId="352D2569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2023r. ilość porad z zakresu umów sprzedaży wyniosła 1126, a w roku 2024 </w:t>
      </w:r>
      <w:r w:rsidR="00140ACE" w:rsidRPr="009B3C1B">
        <w:rPr>
          <w:rFonts w:ascii="Arial" w:hAnsi="Arial" w:cs="Arial"/>
        </w:rPr>
        <w:t>– 1172.</w:t>
      </w:r>
    </w:p>
    <w:p w14:paraId="02E8EE93" w14:textId="5156266F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zakresie usług ogółem  w 2023r. udzielono 870 porad, a w roku 2024</w:t>
      </w:r>
      <w:r w:rsidR="00140ACE" w:rsidRPr="009B3C1B">
        <w:rPr>
          <w:rFonts w:ascii="Arial" w:hAnsi="Arial" w:cs="Arial"/>
        </w:rPr>
        <w:t xml:space="preserve">  - 944.</w:t>
      </w:r>
    </w:p>
    <w:p w14:paraId="7AD0CE9E" w14:textId="09A95C0D" w:rsidR="006E5AF4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roku </w:t>
      </w:r>
      <w:r w:rsidR="00140ACE" w:rsidRPr="009B3C1B">
        <w:rPr>
          <w:rFonts w:ascii="Arial" w:hAnsi="Arial" w:cs="Arial"/>
        </w:rPr>
        <w:t xml:space="preserve">2024 i </w:t>
      </w:r>
      <w:r w:rsidRPr="009B3C1B">
        <w:rPr>
          <w:rFonts w:ascii="Arial" w:hAnsi="Arial" w:cs="Arial"/>
        </w:rPr>
        <w:t xml:space="preserve">2023 ilość porad w zakresie usług była na podobnym poziomie z niewielkim </w:t>
      </w:r>
      <w:r w:rsidR="00140ACE" w:rsidRPr="009B3C1B">
        <w:rPr>
          <w:rFonts w:ascii="Arial" w:hAnsi="Arial" w:cs="Arial"/>
        </w:rPr>
        <w:t xml:space="preserve"> wzrostem i podobnie</w:t>
      </w:r>
      <w:r w:rsidRPr="009B3C1B">
        <w:rPr>
          <w:rFonts w:ascii="Arial" w:hAnsi="Arial" w:cs="Arial"/>
        </w:rPr>
        <w:t xml:space="preserve"> w zakresie sprzedaży. </w:t>
      </w:r>
      <w:r w:rsidR="00140ACE" w:rsidRPr="009B3C1B">
        <w:rPr>
          <w:rFonts w:ascii="Arial" w:hAnsi="Arial" w:cs="Arial"/>
        </w:rPr>
        <w:t>N</w:t>
      </w:r>
      <w:r w:rsidRPr="009B3C1B">
        <w:rPr>
          <w:rFonts w:ascii="Arial" w:hAnsi="Arial" w:cs="Arial"/>
        </w:rPr>
        <w:t xml:space="preserve">adal więcej porad udzielono w zakresie sprzedaży niż usług. W kategorii informacje ogólne rejestrowano porady niezwiązane z konkretnym asortymentem towarowym lub usługowym i w większości były to porady z zakresu prawa cywilnego, procedury cywilnej i toczących się postępowań sądowych i egzekucyjnych, windykacyjnych – w tej kategorii udzielono 64 porady, a w roku 2024r. </w:t>
      </w:r>
      <w:r w:rsidR="008352B1" w:rsidRPr="009B3C1B">
        <w:rPr>
          <w:rFonts w:ascii="Arial" w:hAnsi="Arial" w:cs="Arial"/>
        </w:rPr>
        <w:t xml:space="preserve"> </w:t>
      </w:r>
      <w:r w:rsidR="007B53E2" w:rsidRPr="009B3C1B">
        <w:rPr>
          <w:rFonts w:ascii="Arial" w:hAnsi="Arial" w:cs="Arial"/>
        </w:rPr>
        <w:t xml:space="preserve">– 128 </w:t>
      </w:r>
      <w:r w:rsidR="008615DC" w:rsidRPr="009B3C1B">
        <w:rPr>
          <w:rFonts w:ascii="Arial" w:hAnsi="Arial" w:cs="Arial"/>
        </w:rPr>
        <w:t>(</w:t>
      </w:r>
      <w:r w:rsidR="007B53E2" w:rsidRPr="009B3C1B">
        <w:rPr>
          <w:rFonts w:ascii="Arial" w:hAnsi="Arial" w:cs="Arial"/>
        </w:rPr>
        <w:t>wzrost o</w:t>
      </w:r>
      <w:r w:rsidR="002A26B3" w:rsidRPr="009B3C1B">
        <w:rPr>
          <w:rFonts w:ascii="Arial" w:hAnsi="Arial" w:cs="Arial"/>
        </w:rPr>
        <w:t> </w:t>
      </w:r>
      <w:r w:rsidR="007B53E2" w:rsidRPr="009B3C1B">
        <w:rPr>
          <w:rFonts w:ascii="Arial" w:hAnsi="Arial" w:cs="Arial"/>
        </w:rPr>
        <w:t>połowę</w:t>
      </w:r>
      <w:r w:rsidR="008615DC" w:rsidRPr="009B3C1B">
        <w:rPr>
          <w:rFonts w:ascii="Arial" w:hAnsi="Arial" w:cs="Arial"/>
        </w:rPr>
        <w:t>)</w:t>
      </w:r>
      <w:r w:rsidR="007B53E2" w:rsidRPr="009B3C1B">
        <w:rPr>
          <w:rFonts w:ascii="Arial" w:hAnsi="Arial" w:cs="Arial"/>
        </w:rPr>
        <w:t xml:space="preserve">. </w:t>
      </w:r>
      <w:r w:rsidRPr="009B3C1B">
        <w:rPr>
          <w:rFonts w:ascii="Arial" w:hAnsi="Arial" w:cs="Arial"/>
        </w:rPr>
        <w:t>W sprawach niekonsumenckich odnotowano</w:t>
      </w:r>
      <w:r w:rsidR="007B53E2" w:rsidRPr="009B3C1B">
        <w:rPr>
          <w:rFonts w:ascii="Arial" w:hAnsi="Arial" w:cs="Arial"/>
        </w:rPr>
        <w:t xml:space="preserve"> z kolei spadek </w:t>
      </w:r>
      <w:r w:rsidRPr="009B3C1B">
        <w:rPr>
          <w:rFonts w:ascii="Arial" w:hAnsi="Arial" w:cs="Arial"/>
        </w:rPr>
        <w:t xml:space="preserve">w stosunku do roku ubiegłego. W roku 2023 w tej kategorii </w:t>
      </w:r>
      <w:r w:rsidR="007B53E2" w:rsidRPr="009B3C1B">
        <w:rPr>
          <w:rFonts w:ascii="Arial" w:hAnsi="Arial" w:cs="Arial"/>
        </w:rPr>
        <w:t xml:space="preserve">porad </w:t>
      </w:r>
      <w:r w:rsidRPr="009B3C1B">
        <w:rPr>
          <w:rFonts w:ascii="Arial" w:hAnsi="Arial" w:cs="Arial"/>
        </w:rPr>
        <w:t>było 213</w:t>
      </w:r>
      <w:r w:rsidR="008352B1" w:rsidRPr="009B3C1B">
        <w:rPr>
          <w:rFonts w:ascii="Arial" w:hAnsi="Arial" w:cs="Arial"/>
        </w:rPr>
        <w:t xml:space="preserve">, a w </w:t>
      </w:r>
      <w:r w:rsidRPr="009B3C1B">
        <w:rPr>
          <w:rFonts w:ascii="Arial" w:hAnsi="Arial" w:cs="Arial"/>
        </w:rPr>
        <w:t xml:space="preserve"> 20</w:t>
      </w:r>
      <w:r w:rsidR="008352B1" w:rsidRPr="009B3C1B">
        <w:rPr>
          <w:rFonts w:ascii="Arial" w:hAnsi="Arial" w:cs="Arial"/>
        </w:rPr>
        <w:t>24</w:t>
      </w:r>
      <w:r w:rsidRPr="009B3C1B">
        <w:rPr>
          <w:rFonts w:ascii="Arial" w:hAnsi="Arial" w:cs="Arial"/>
        </w:rPr>
        <w:t xml:space="preserve"> roku </w:t>
      </w:r>
      <w:r w:rsidR="007B53E2" w:rsidRPr="009B3C1B">
        <w:rPr>
          <w:rFonts w:ascii="Arial" w:hAnsi="Arial" w:cs="Arial"/>
        </w:rPr>
        <w:t>–</w:t>
      </w:r>
      <w:r w:rsidRPr="009B3C1B">
        <w:rPr>
          <w:rFonts w:ascii="Arial" w:hAnsi="Arial" w:cs="Arial"/>
        </w:rPr>
        <w:t xml:space="preserve"> </w:t>
      </w:r>
      <w:r w:rsidR="007B53E2" w:rsidRPr="009B3C1B">
        <w:rPr>
          <w:rFonts w:ascii="Arial" w:hAnsi="Arial" w:cs="Arial"/>
        </w:rPr>
        <w:t>127.</w:t>
      </w:r>
    </w:p>
    <w:p w14:paraId="69134906" w14:textId="1EF964FC" w:rsidR="008352B1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lastRenderedPageBreak/>
        <w:t>Biuro Rzecznika Konsumentów tak jak w latach ubiegłych obsługiwało konsumentów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pełnym wymiarze godzin pracy Urzędu Miejskiego, co oznacza, że porady były świadczone stale w wymiarze 40 godzin tygodniowo. W </w:t>
      </w:r>
      <w:r w:rsidR="008352B1" w:rsidRPr="009B3C1B">
        <w:rPr>
          <w:rFonts w:ascii="Arial" w:hAnsi="Arial" w:cs="Arial"/>
        </w:rPr>
        <w:t>latach</w:t>
      </w:r>
      <w:r w:rsidRPr="009B3C1B">
        <w:rPr>
          <w:rFonts w:ascii="Arial" w:hAnsi="Arial" w:cs="Arial"/>
        </w:rPr>
        <w:t xml:space="preserve"> 2023</w:t>
      </w:r>
      <w:r w:rsidR="008352B1" w:rsidRPr="009B3C1B">
        <w:rPr>
          <w:rFonts w:ascii="Arial" w:hAnsi="Arial" w:cs="Arial"/>
        </w:rPr>
        <w:t xml:space="preserve">/2024 </w:t>
      </w:r>
      <w:r w:rsidRPr="009B3C1B">
        <w:rPr>
          <w:rFonts w:ascii="Arial" w:hAnsi="Arial" w:cs="Arial"/>
        </w:rPr>
        <w:t xml:space="preserve"> biuro poza jednym dniem związanym ze szkoleniem działało nieprzerwanie. Porady udzielane były tymi samymi kanałami komunikacji</w:t>
      </w:r>
      <w:r w:rsidR="008352B1" w:rsidRPr="009B3C1B">
        <w:rPr>
          <w:rFonts w:ascii="Arial" w:hAnsi="Arial" w:cs="Arial"/>
        </w:rPr>
        <w:t xml:space="preserve"> – osobiście, telefonicznie i elektronicznie.</w:t>
      </w:r>
      <w:r w:rsidRPr="009B3C1B">
        <w:rPr>
          <w:rFonts w:ascii="Arial" w:hAnsi="Arial" w:cs="Arial"/>
        </w:rPr>
        <w:t xml:space="preserve"> Widoczne było zwiększenie wizyt osobistych w stosunku do lat poprzednich. Stale obserwujemy, że wiele spraw do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udzielenia porady wymaga analizy często wielostronicowych dokumentów lub materiałów przesyłanych elektronicznie w postaci </w:t>
      </w:r>
      <w:proofErr w:type="spellStart"/>
      <w:r w:rsidRPr="009B3C1B">
        <w:rPr>
          <w:rFonts w:ascii="Arial" w:hAnsi="Arial" w:cs="Arial"/>
        </w:rPr>
        <w:t>screen’ów</w:t>
      </w:r>
      <w:proofErr w:type="spellEnd"/>
      <w:r w:rsidRPr="009B3C1B">
        <w:rPr>
          <w:rFonts w:ascii="Arial" w:hAnsi="Arial" w:cs="Arial"/>
        </w:rPr>
        <w:t>. Nadal utrzymuje się zapotrzebowanie na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porady kanałem elektronicznym, który także jest dogodnym dla wielu konsumentów narzędziem do przesyłania materiałów do analizy problemów. Utrzymującą się tendencją jest liczba problemów i zagadnień wymagających dłuższej analizy i rozmowy z konsumentem. Przy poradach gdzie dokumentacja sprawy przesyłana jest elektronicznie dodatkowym utrudnieniem jest jej rozproszony charakter wymagający żmudnego segregowania i odczytywania. Analiza takiego materiału wymaga poświęcenia dodatkowego czasu na chronologiczne skompletowanie dokumentacji, a często niezbędne jest poszukiwanie i dodatkowa analiza materiałów dostępnych w Internecie jak np. regulaminów sklepów czy zamieszczanych ofert lub informacji handlowych.</w:t>
      </w:r>
      <w:r w:rsidR="008352B1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>Znamienne jest także, że konsumenci zgłaszają się obecnie po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poradę bez dokumentacji w formie papierowej, ale materiałami w postaci cyfrowej i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oczekują ich analizy prezentując na własnych telefonach, co często jest znacznym utrudnieniem lub też wyklucza udzielenie porady od razu podczas wizyty i oznacza konieczność przesłania materiałów na pocztę elektroniczną. Wskazane okoliczności powodują, że znacznie wydłuża się czas poświęcony na pojedynczą poradę. W bardzo wielu przypadkach porada nie dotyczy jedynie przekazania informacji, ale oznacza kompleksową pomoc polegającą na rozpoznaniu problemu – ustaleniu okoliczności sprawy, sporządzeniu pisma dla konsumenta lub pomoc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jego zredagowaniu. Nadal obserwujemy malejącą liczbę tzw. spraw drobnych na rzecz wzrastającej liczby problemów o charakterze wielowątkowym. Porady dotyczą zwykle kilku zagadnień prawnych a czas, jaki trzeba poświęcić na udzielenie porady – pomocy wydłuża się (często zdarza się, że na jedną poradę trzeba poświęcić kilka godzin, co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wynika z konieczności analizy wielu rozproszonych dokumentów).</w:t>
      </w:r>
      <w:r w:rsidR="008352B1" w:rsidRPr="009B3C1B">
        <w:rPr>
          <w:rFonts w:ascii="Arial" w:hAnsi="Arial" w:cs="Arial"/>
        </w:rPr>
        <w:t xml:space="preserve"> Często zdarzają się także problemy z ustaleniem stanu faktycznego sprawy, niekompletnością dokumentacji i</w:t>
      </w:r>
      <w:r w:rsidR="002A26B3" w:rsidRPr="009B3C1B">
        <w:rPr>
          <w:rFonts w:ascii="Arial" w:hAnsi="Arial" w:cs="Arial"/>
        </w:rPr>
        <w:t> </w:t>
      </w:r>
      <w:r w:rsidR="008352B1" w:rsidRPr="009B3C1B">
        <w:rPr>
          <w:rFonts w:ascii="Arial" w:hAnsi="Arial" w:cs="Arial"/>
        </w:rPr>
        <w:t>rozbieżnością miedzy prezentowanym opisem okoliczności, a treścią dokumentów zebranych w sprawie.</w:t>
      </w:r>
    </w:p>
    <w:p w14:paraId="0B58966E" w14:textId="77777777" w:rsidR="008615DC" w:rsidRPr="009B3C1B" w:rsidRDefault="008615DC" w:rsidP="009B3C1B">
      <w:pPr>
        <w:spacing w:line="240" w:lineRule="auto"/>
        <w:jc w:val="both"/>
        <w:rPr>
          <w:rFonts w:ascii="Arial" w:hAnsi="Arial" w:cs="Arial"/>
        </w:rPr>
      </w:pPr>
    </w:p>
    <w:p w14:paraId="39435ECA" w14:textId="295B36F8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9B3C1B">
        <w:rPr>
          <w:rFonts w:ascii="Arial" w:hAnsi="Arial" w:cs="Arial"/>
          <w:b/>
          <w:bCs/>
          <w:u w:val="single"/>
        </w:rPr>
        <w:t>Porady w zależności od sposobu zawarcia umowy:</w:t>
      </w:r>
    </w:p>
    <w:p w14:paraId="24650822" w14:textId="77777777" w:rsidR="00810B67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Porad w zakresie umów zawartych</w:t>
      </w:r>
      <w:r w:rsidR="00810B67" w:rsidRPr="009B3C1B">
        <w:rPr>
          <w:rFonts w:ascii="Arial" w:hAnsi="Arial" w:cs="Arial"/>
        </w:rPr>
        <w:t>:</w:t>
      </w:r>
    </w:p>
    <w:p w14:paraId="0F3E0853" w14:textId="0864DEDC" w:rsidR="00810B67" w:rsidRPr="009B3C1B" w:rsidRDefault="006E5AF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A.</w:t>
      </w:r>
      <w:r w:rsidR="00AB5FB9" w:rsidRPr="009B3C1B">
        <w:rPr>
          <w:rFonts w:ascii="Arial" w:hAnsi="Arial" w:cs="Arial"/>
          <w:b/>
          <w:bCs/>
        </w:rPr>
        <w:t xml:space="preserve"> w tradycyjny sposób w lokalu przedsiębiorstwa udzielono</w:t>
      </w:r>
      <w:r w:rsidR="00AB5FB9" w:rsidRPr="009B3C1B">
        <w:rPr>
          <w:rFonts w:ascii="Arial" w:hAnsi="Arial" w:cs="Arial"/>
        </w:rPr>
        <w:t xml:space="preserve"> w 2023r. - 1565 </w:t>
      </w:r>
      <w:r w:rsidR="00810B67" w:rsidRPr="009B3C1B">
        <w:rPr>
          <w:rFonts w:ascii="Arial" w:hAnsi="Arial" w:cs="Arial"/>
        </w:rPr>
        <w:t xml:space="preserve">, </w:t>
      </w:r>
      <w:r w:rsidR="00AB5FB9" w:rsidRPr="009B3C1B">
        <w:rPr>
          <w:rFonts w:ascii="Arial" w:hAnsi="Arial" w:cs="Arial"/>
        </w:rPr>
        <w:t>w roku 202</w:t>
      </w:r>
      <w:r w:rsidR="00810B67" w:rsidRPr="009B3C1B">
        <w:rPr>
          <w:rFonts w:ascii="Arial" w:hAnsi="Arial" w:cs="Arial"/>
        </w:rPr>
        <w:t>4</w:t>
      </w:r>
      <w:r w:rsidR="007B53E2" w:rsidRPr="009B3C1B">
        <w:rPr>
          <w:rFonts w:ascii="Arial" w:hAnsi="Arial" w:cs="Arial"/>
        </w:rPr>
        <w:t xml:space="preserve"> - 1710</w:t>
      </w:r>
      <w:r w:rsidR="00810B67" w:rsidRPr="009B3C1B">
        <w:rPr>
          <w:rFonts w:ascii="Arial" w:hAnsi="Arial" w:cs="Arial"/>
        </w:rPr>
        <w:t>;</w:t>
      </w:r>
    </w:p>
    <w:p w14:paraId="78376830" w14:textId="63CF65A5" w:rsidR="006E5AF4" w:rsidRPr="009B3C1B" w:rsidRDefault="006E5AF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 xml:space="preserve">B. </w:t>
      </w:r>
      <w:r w:rsidR="00AB5FB9" w:rsidRPr="009B3C1B">
        <w:rPr>
          <w:rFonts w:ascii="Arial" w:hAnsi="Arial" w:cs="Arial"/>
          <w:b/>
          <w:bCs/>
        </w:rPr>
        <w:t>poza lokalem przedsiębiorstwa i na odległość</w:t>
      </w:r>
      <w:r w:rsidR="00AB5FB9" w:rsidRPr="009B3C1B">
        <w:rPr>
          <w:rFonts w:ascii="Arial" w:hAnsi="Arial" w:cs="Arial"/>
        </w:rPr>
        <w:t xml:space="preserve"> </w:t>
      </w:r>
      <w:r w:rsidR="00810B67" w:rsidRPr="009B3C1B">
        <w:rPr>
          <w:rFonts w:ascii="Arial" w:hAnsi="Arial" w:cs="Arial"/>
        </w:rPr>
        <w:t xml:space="preserve">w roku 2023  - </w:t>
      </w:r>
      <w:r w:rsidR="00AB5FB9" w:rsidRPr="009B3C1B">
        <w:rPr>
          <w:rFonts w:ascii="Arial" w:hAnsi="Arial" w:cs="Arial"/>
        </w:rPr>
        <w:t>431</w:t>
      </w:r>
      <w:r w:rsidR="00810B67" w:rsidRPr="009B3C1B">
        <w:rPr>
          <w:rFonts w:ascii="Arial" w:hAnsi="Arial" w:cs="Arial"/>
        </w:rPr>
        <w:t xml:space="preserve">, a </w:t>
      </w:r>
      <w:r w:rsidR="00AB5FB9" w:rsidRPr="009B3C1B">
        <w:rPr>
          <w:rFonts w:ascii="Arial" w:hAnsi="Arial" w:cs="Arial"/>
        </w:rPr>
        <w:t>w roku</w:t>
      </w:r>
      <w:r w:rsidR="008533BB" w:rsidRPr="009B3C1B">
        <w:rPr>
          <w:rFonts w:ascii="Arial" w:hAnsi="Arial" w:cs="Arial"/>
        </w:rPr>
        <w:t xml:space="preserve"> 2024 – 406 </w:t>
      </w:r>
      <w:r w:rsidR="00AB5FB9" w:rsidRPr="009B3C1B">
        <w:rPr>
          <w:rFonts w:ascii="Arial" w:hAnsi="Arial" w:cs="Arial"/>
        </w:rPr>
        <w:t>z</w:t>
      </w:r>
      <w:r w:rsidR="002A26B3" w:rsidRPr="009B3C1B">
        <w:rPr>
          <w:rFonts w:ascii="Arial" w:hAnsi="Arial" w:cs="Arial"/>
        </w:rPr>
        <w:t> </w:t>
      </w:r>
      <w:r w:rsidR="00AB5FB9" w:rsidRPr="009B3C1B">
        <w:rPr>
          <w:rFonts w:ascii="Arial" w:hAnsi="Arial" w:cs="Arial"/>
        </w:rPr>
        <w:t>czego tylko</w:t>
      </w:r>
      <w:r w:rsidR="00810B67" w:rsidRPr="009B3C1B">
        <w:rPr>
          <w:rFonts w:ascii="Arial" w:hAnsi="Arial" w:cs="Arial"/>
        </w:rPr>
        <w:t xml:space="preserve"> odpowiednio </w:t>
      </w:r>
      <w:r w:rsidR="00AB5FB9" w:rsidRPr="009B3C1B">
        <w:rPr>
          <w:rFonts w:ascii="Arial" w:hAnsi="Arial" w:cs="Arial"/>
        </w:rPr>
        <w:t xml:space="preserve"> 59 </w:t>
      </w:r>
      <w:r w:rsidR="00810B67" w:rsidRPr="009B3C1B">
        <w:rPr>
          <w:rFonts w:ascii="Arial" w:hAnsi="Arial" w:cs="Arial"/>
        </w:rPr>
        <w:t xml:space="preserve">w 2023 i </w:t>
      </w:r>
      <w:r w:rsidR="008533BB" w:rsidRPr="009B3C1B">
        <w:rPr>
          <w:rFonts w:ascii="Arial" w:hAnsi="Arial" w:cs="Arial"/>
        </w:rPr>
        <w:t xml:space="preserve">38 </w:t>
      </w:r>
      <w:r w:rsidR="00810B67" w:rsidRPr="009B3C1B">
        <w:rPr>
          <w:rFonts w:ascii="Arial" w:hAnsi="Arial" w:cs="Arial"/>
        </w:rPr>
        <w:t xml:space="preserve">w 2024r.  </w:t>
      </w:r>
      <w:r w:rsidR="00AB5FB9" w:rsidRPr="009B3C1B">
        <w:rPr>
          <w:rFonts w:ascii="Arial" w:hAnsi="Arial" w:cs="Arial"/>
        </w:rPr>
        <w:t xml:space="preserve">dotyczyło umów zawartych poza siedzibą przedsiębiorcy, a 372 </w:t>
      </w:r>
      <w:r w:rsidR="00810B67" w:rsidRPr="009B3C1B">
        <w:rPr>
          <w:rFonts w:ascii="Arial" w:hAnsi="Arial" w:cs="Arial"/>
        </w:rPr>
        <w:t xml:space="preserve">i </w:t>
      </w:r>
      <w:r w:rsidR="008533BB" w:rsidRPr="009B3C1B">
        <w:rPr>
          <w:rFonts w:ascii="Arial" w:hAnsi="Arial" w:cs="Arial"/>
        </w:rPr>
        <w:t>368</w:t>
      </w:r>
      <w:r w:rsidR="00AB5FB9" w:rsidRPr="009B3C1B">
        <w:rPr>
          <w:rFonts w:ascii="Arial" w:hAnsi="Arial" w:cs="Arial"/>
        </w:rPr>
        <w:t xml:space="preserve"> na odległość. </w:t>
      </w:r>
      <w:r w:rsidR="008533BB" w:rsidRPr="009B3C1B">
        <w:rPr>
          <w:rFonts w:ascii="Arial" w:hAnsi="Arial" w:cs="Arial"/>
        </w:rPr>
        <w:t xml:space="preserve"> Tendencja widoczna od kilku lat utrzymuje się gdzie drastycznie zmalała liczba problemów dotyczących umów zawartych poza lokalem przedsiębiorstwa</w:t>
      </w:r>
      <w:r w:rsidRPr="009B3C1B">
        <w:rPr>
          <w:rFonts w:ascii="Arial" w:hAnsi="Arial" w:cs="Arial"/>
        </w:rPr>
        <w:t>.</w:t>
      </w:r>
    </w:p>
    <w:p w14:paraId="2E48E509" w14:textId="707E1536" w:rsidR="00810B67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9B3C1B">
        <w:rPr>
          <w:rFonts w:ascii="Arial" w:hAnsi="Arial" w:cs="Arial"/>
          <w:b/>
          <w:bCs/>
          <w:u w:val="single"/>
        </w:rPr>
        <w:t>Porady w zależności od głównego problemu:</w:t>
      </w:r>
    </w:p>
    <w:p w14:paraId="76DFFEBB" w14:textId="00A4E87C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zależności od głównego problemu porad najwięcej dotyczyło:</w:t>
      </w:r>
    </w:p>
    <w:p w14:paraId="0A3C30A4" w14:textId="0BC0DC8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A.</w:t>
      </w:r>
      <w:r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  <w:b/>
          <w:bCs/>
        </w:rPr>
        <w:t>wadliwości towarów i nienależytego wykonania umów</w:t>
      </w:r>
      <w:r w:rsidR="00810B67" w:rsidRPr="009B3C1B">
        <w:rPr>
          <w:rFonts w:ascii="Arial" w:hAnsi="Arial" w:cs="Arial"/>
        </w:rPr>
        <w:t xml:space="preserve">: w roku 2023 </w:t>
      </w:r>
      <w:r w:rsidRPr="009B3C1B">
        <w:rPr>
          <w:rFonts w:ascii="Arial" w:hAnsi="Arial" w:cs="Arial"/>
        </w:rPr>
        <w:t>– 1202 porad</w:t>
      </w:r>
      <w:r w:rsidR="00810B67" w:rsidRPr="009B3C1B">
        <w:rPr>
          <w:rFonts w:ascii="Arial" w:hAnsi="Arial" w:cs="Arial"/>
        </w:rPr>
        <w:t>y, a</w:t>
      </w:r>
      <w:r w:rsidR="002A26B3" w:rsidRPr="009B3C1B">
        <w:rPr>
          <w:rFonts w:ascii="Arial" w:hAnsi="Arial" w:cs="Arial"/>
        </w:rPr>
        <w:t> </w:t>
      </w:r>
      <w:r w:rsidR="00810B67" w:rsidRPr="009B3C1B">
        <w:rPr>
          <w:rFonts w:ascii="Arial" w:hAnsi="Arial" w:cs="Arial"/>
        </w:rPr>
        <w:t>w</w:t>
      </w:r>
      <w:r w:rsidR="002A26B3" w:rsidRPr="009B3C1B">
        <w:rPr>
          <w:rFonts w:ascii="Arial" w:hAnsi="Arial" w:cs="Arial"/>
        </w:rPr>
        <w:t> </w:t>
      </w:r>
      <w:r w:rsidR="00810B67" w:rsidRPr="009B3C1B">
        <w:rPr>
          <w:rFonts w:ascii="Arial" w:hAnsi="Arial" w:cs="Arial"/>
        </w:rPr>
        <w:t xml:space="preserve">roku 2024 -  </w:t>
      </w:r>
      <w:r w:rsidR="008533BB" w:rsidRPr="009B3C1B">
        <w:rPr>
          <w:rFonts w:ascii="Arial" w:hAnsi="Arial" w:cs="Arial"/>
        </w:rPr>
        <w:t>1321</w:t>
      </w:r>
      <w:r w:rsidRPr="009B3C1B">
        <w:rPr>
          <w:rFonts w:ascii="Arial" w:hAnsi="Arial" w:cs="Arial"/>
        </w:rPr>
        <w:t xml:space="preserve">, z czego najwięcej porad w zakresie umów zawartych w tradycyjnej formie tj. w lokalu sprzedawcy lub kiedy nie miało to znaczenia – </w:t>
      </w:r>
      <w:r w:rsidR="00810B67" w:rsidRPr="009B3C1B">
        <w:rPr>
          <w:rFonts w:ascii="Arial" w:hAnsi="Arial" w:cs="Arial"/>
        </w:rPr>
        <w:t xml:space="preserve">w roku 2023 – </w:t>
      </w:r>
      <w:r w:rsidRPr="009B3C1B">
        <w:rPr>
          <w:rFonts w:ascii="Arial" w:hAnsi="Arial" w:cs="Arial"/>
        </w:rPr>
        <w:t>1025</w:t>
      </w:r>
      <w:r w:rsidR="00810B67" w:rsidRPr="009B3C1B">
        <w:rPr>
          <w:rFonts w:ascii="Arial" w:hAnsi="Arial" w:cs="Arial"/>
        </w:rPr>
        <w:t>, a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roku 202</w:t>
      </w:r>
      <w:r w:rsidR="00810B67" w:rsidRPr="009B3C1B">
        <w:rPr>
          <w:rFonts w:ascii="Arial" w:hAnsi="Arial" w:cs="Arial"/>
        </w:rPr>
        <w:t>4</w:t>
      </w:r>
      <w:r w:rsidRPr="009B3C1B">
        <w:rPr>
          <w:rFonts w:ascii="Arial" w:hAnsi="Arial" w:cs="Arial"/>
        </w:rPr>
        <w:t xml:space="preserve">- </w:t>
      </w:r>
      <w:r w:rsidR="008533BB" w:rsidRPr="009B3C1B">
        <w:rPr>
          <w:rFonts w:ascii="Arial" w:hAnsi="Arial" w:cs="Arial"/>
        </w:rPr>
        <w:t>1176</w:t>
      </w:r>
      <w:r w:rsidRPr="009B3C1B">
        <w:rPr>
          <w:rFonts w:ascii="Arial" w:hAnsi="Arial" w:cs="Arial"/>
        </w:rPr>
        <w:t xml:space="preserve">; </w:t>
      </w:r>
      <w:r w:rsidR="00810B67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 xml:space="preserve">na odległość </w:t>
      </w:r>
      <w:r w:rsidR="00810B67" w:rsidRPr="009B3C1B">
        <w:rPr>
          <w:rFonts w:ascii="Arial" w:hAnsi="Arial" w:cs="Arial"/>
        </w:rPr>
        <w:t xml:space="preserve">w 2023 roku </w:t>
      </w:r>
      <w:r w:rsidRPr="009B3C1B">
        <w:rPr>
          <w:rFonts w:ascii="Arial" w:hAnsi="Arial" w:cs="Arial"/>
        </w:rPr>
        <w:t>162</w:t>
      </w:r>
      <w:r w:rsidR="00810B67" w:rsidRPr="009B3C1B">
        <w:rPr>
          <w:rFonts w:ascii="Arial" w:hAnsi="Arial" w:cs="Arial"/>
        </w:rPr>
        <w:t xml:space="preserve">, a </w:t>
      </w:r>
      <w:r w:rsidRPr="009B3C1B">
        <w:rPr>
          <w:rFonts w:ascii="Arial" w:hAnsi="Arial" w:cs="Arial"/>
        </w:rPr>
        <w:t>w roku 202</w:t>
      </w:r>
      <w:r w:rsidR="008D730C" w:rsidRPr="009B3C1B">
        <w:rPr>
          <w:rFonts w:ascii="Arial" w:hAnsi="Arial" w:cs="Arial"/>
        </w:rPr>
        <w:t>4</w:t>
      </w:r>
      <w:r w:rsidRPr="009B3C1B">
        <w:rPr>
          <w:rFonts w:ascii="Arial" w:hAnsi="Arial" w:cs="Arial"/>
        </w:rPr>
        <w:t xml:space="preserve"> – </w:t>
      </w:r>
      <w:r w:rsidR="008533BB" w:rsidRPr="009B3C1B">
        <w:rPr>
          <w:rFonts w:ascii="Arial" w:hAnsi="Arial" w:cs="Arial"/>
        </w:rPr>
        <w:t>139</w:t>
      </w:r>
      <w:r w:rsidRPr="009B3C1B">
        <w:rPr>
          <w:rFonts w:ascii="Arial" w:hAnsi="Arial" w:cs="Arial"/>
        </w:rPr>
        <w:t>;  poza lokalem</w:t>
      </w:r>
      <w:r w:rsidR="002A26B3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 xml:space="preserve">przedsiębiorstwa </w:t>
      </w:r>
      <w:r w:rsidR="008D730C" w:rsidRPr="009B3C1B">
        <w:rPr>
          <w:rFonts w:ascii="Arial" w:hAnsi="Arial" w:cs="Arial"/>
        </w:rPr>
        <w:t xml:space="preserve">w 2023 roku </w:t>
      </w:r>
      <w:r w:rsidRPr="009B3C1B">
        <w:rPr>
          <w:rFonts w:ascii="Arial" w:hAnsi="Arial" w:cs="Arial"/>
        </w:rPr>
        <w:t>– 15</w:t>
      </w:r>
      <w:r w:rsidR="008D730C" w:rsidRPr="009B3C1B">
        <w:rPr>
          <w:rFonts w:ascii="Arial" w:hAnsi="Arial" w:cs="Arial"/>
        </w:rPr>
        <w:t xml:space="preserve">, a w roku 2024 </w:t>
      </w:r>
      <w:r w:rsidRPr="009B3C1B">
        <w:rPr>
          <w:rFonts w:ascii="Arial" w:hAnsi="Arial" w:cs="Arial"/>
        </w:rPr>
        <w:t xml:space="preserve">– </w:t>
      </w:r>
      <w:r w:rsidR="008D730C" w:rsidRPr="009B3C1B">
        <w:rPr>
          <w:rFonts w:ascii="Arial" w:hAnsi="Arial" w:cs="Arial"/>
        </w:rPr>
        <w:t xml:space="preserve"> </w:t>
      </w:r>
      <w:r w:rsidR="008533BB" w:rsidRPr="009B3C1B">
        <w:rPr>
          <w:rFonts w:ascii="Arial" w:hAnsi="Arial" w:cs="Arial"/>
        </w:rPr>
        <w:t>6</w:t>
      </w:r>
      <w:r w:rsidR="008D730C" w:rsidRPr="009B3C1B">
        <w:rPr>
          <w:rFonts w:ascii="Arial" w:hAnsi="Arial" w:cs="Arial"/>
        </w:rPr>
        <w:t xml:space="preserve">. </w:t>
      </w:r>
      <w:r w:rsidRPr="009B3C1B">
        <w:rPr>
          <w:rFonts w:ascii="Arial" w:hAnsi="Arial" w:cs="Arial"/>
        </w:rPr>
        <w:t xml:space="preserve"> </w:t>
      </w:r>
      <w:r w:rsidR="008D730C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 xml:space="preserve"> Nadal </w:t>
      </w:r>
      <w:r w:rsidR="008D730C" w:rsidRPr="009B3C1B">
        <w:rPr>
          <w:rFonts w:ascii="Arial" w:hAnsi="Arial" w:cs="Arial"/>
        </w:rPr>
        <w:t xml:space="preserve">utrzymuje się </w:t>
      </w:r>
      <w:r w:rsidRPr="009B3C1B">
        <w:rPr>
          <w:rFonts w:ascii="Arial" w:hAnsi="Arial" w:cs="Arial"/>
        </w:rPr>
        <w:t xml:space="preserve">znaczna różnica między ilością </w:t>
      </w:r>
      <w:r w:rsidR="008D730C" w:rsidRPr="009B3C1B">
        <w:rPr>
          <w:rFonts w:ascii="Arial" w:hAnsi="Arial" w:cs="Arial"/>
        </w:rPr>
        <w:t xml:space="preserve">porad dotyczących </w:t>
      </w:r>
      <w:r w:rsidRPr="009B3C1B">
        <w:rPr>
          <w:rFonts w:ascii="Arial" w:hAnsi="Arial" w:cs="Arial"/>
        </w:rPr>
        <w:t>umów zawartych w tradycyjnych sklepach i na odległość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stosunku do tych zawartych poza siedzibą przedsiębiorcy.</w:t>
      </w:r>
    </w:p>
    <w:p w14:paraId="4222BBD9" w14:textId="5D057709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lastRenderedPageBreak/>
        <w:t>B. rozwiązania umowy</w:t>
      </w:r>
      <w:r w:rsidR="008D730C" w:rsidRPr="009B3C1B">
        <w:rPr>
          <w:rFonts w:ascii="Arial" w:hAnsi="Arial" w:cs="Arial"/>
        </w:rPr>
        <w:t>: w roku 2023 –</w:t>
      </w:r>
      <w:r w:rsidRPr="009B3C1B">
        <w:rPr>
          <w:rFonts w:ascii="Arial" w:hAnsi="Arial" w:cs="Arial"/>
        </w:rPr>
        <w:t xml:space="preserve"> 261</w:t>
      </w:r>
      <w:r w:rsidR="008D730C" w:rsidRPr="009B3C1B">
        <w:rPr>
          <w:rFonts w:ascii="Arial" w:hAnsi="Arial" w:cs="Arial"/>
        </w:rPr>
        <w:t xml:space="preserve">, w roku 2024 </w:t>
      </w:r>
      <w:r w:rsidRPr="009B3C1B">
        <w:rPr>
          <w:rFonts w:ascii="Arial" w:hAnsi="Arial" w:cs="Arial"/>
        </w:rPr>
        <w:t xml:space="preserve">– </w:t>
      </w:r>
      <w:r w:rsidR="008533BB" w:rsidRPr="009B3C1B">
        <w:rPr>
          <w:rFonts w:ascii="Arial" w:hAnsi="Arial" w:cs="Arial"/>
        </w:rPr>
        <w:t xml:space="preserve">229 </w:t>
      </w:r>
      <w:r w:rsidRPr="009B3C1B">
        <w:rPr>
          <w:rFonts w:ascii="Arial" w:hAnsi="Arial" w:cs="Arial"/>
        </w:rPr>
        <w:t xml:space="preserve">z czego w lokalu </w:t>
      </w:r>
      <w:r w:rsidR="008D730C" w:rsidRPr="009B3C1B">
        <w:rPr>
          <w:rFonts w:ascii="Arial" w:hAnsi="Arial" w:cs="Arial"/>
        </w:rPr>
        <w:t>w 2023 roku</w:t>
      </w:r>
      <w:r w:rsidRPr="009B3C1B">
        <w:rPr>
          <w:rFonts w:ascii="Arial" w:hAnsi="Arial" w:cs="Arial"/>
        </w:rPr>
        <w:t xml:space="preserve">– 105, 122 na odległość, a tylko 34 (w roku 2022 – 60) poza lokalem przedsiębiorstwa. </w:t>
      </w:r>
      <w:r w:rsidR="008D730C" w:rsidRPr="009B3C1B">
        <w:rPr>
          <w:rFonts w:ascii="Arial" w:hAnsi="Arial" w:cs="Arial"/>
        </w:rPr>
        <w:t>W roku 2024 zaś</w:t>
      </w:r>
      <w:r w:rsidR="00F178FE" w:rsidRPr="009B3C1B">
        <w:rPr>
          <w:rFonts w:ascii="Arial" w:hAnsi="Arial" w:cs="Arial"/>
        </w:rPr>
        <w:t xml:space="preserve"> 61</w:t>
      </w:r>
      <w:r w:rsidR="008533BB" w:rsidRPr="009B3C1B">
        <w:rPr>
          <w:rFonts w:ascii="Arial" w:hAnsi="Arial" w:cs="Arial"/>
        </w:rPr>
        <w:t xml:space="preserve"> </w:t>
      </w:r>
      <w:r w:rsidR="008D730C" w:rsidRPr="009B3C1B">
        <w:rPr>
          <w:rFonts w:ascii="Arial" w:hAnsi="Arial" w:cs="Arial"/>
        </w:rPr>
        <w:t>w lokalu</w:t>
      </w:r>
      <w:r w:rsidR="00F178FE" w:rsidRPr="009B3C1B">
        <w:rPr>
          <w:rFonts w:ascii="Arial" w:hAnsi="Arial" w:cs="Arial"/>
        </w:rPr>
        <w:t>, 142</w:t>
      </w:r>
      <w:r w:rsidR="008533BB" w:rsidRPr="009B3C1B">
        <w:rPr>
          <w:rFonts w:ascii="Arial" w:hAnsi="Arial" w:cs="Arial"/>
        </w:rPr>
        <w:t xml:space="preserve"> na odległość</w:t>
      </w:r>
      <w:r w:rsidR="008D730C" w:rsidRPr="009B3C1B">
        <w:rPr>
          <w:rFonts w:ascii="Arial" w:hAnsi="Arial" w:cs="Arial"/>
        </w:rPr>
        <w:t xml:space="preserve">, a </w:t>
      </w:r>
      <w:r w:rsidR="00F178FE" w:rsidRPr="009B3C1B">
        <w:rPr>
          <w:rFonts w:ascii="Arial" w:hAnsi="Arial" w:cs="Arial"/>
        </w:rPr>
        <w:t xml:space="preserve">26 </w:t>
      </w:r>
      <w:r w:rsidR="008D730C" w:rsidRPr="009B3C1B">
        <w:rPr>
          <w:rFonts w:ascii="Arial" w:hAnsi="Arial" w:cs="Arial"/>
        </w:rPr>
        <w:t xml:space="preserve">poza lokalem przedsiębiorstwa. </w:t>
      </w:r>
      <w:r w:rsidRPr="009B3C1B">
        <w:rPr>
          <w:rFonts w:ascii="Arial" w:hAnsi="Arial" w:cs="Arial"/>
        </w:rPr>
        <w:t>Dane pokazują, że w 2023r. największa liczba konsumentów chciała złożyć rezygnację w odniesieniu do umów zawieranych na odległość, w drugiej kolejności tradycyjnie, a najmniejsza w zakresie umów zawartych poza lokalem przedsiębiorstwa. To pokazuje ponowny i znaczny spadek dotyczący rezygnacji z umów zawartych poza lokalem przedsiębiorstwa w stosunku do lat ubiegłych spadek ze 119 w roku 2019, na 79 w roku 2020, następnie w roku 2021/2022 na 63/60. Widoczny jest trend spadkowy porad dotyczący umów zawieranych poza lokalem przedsiębiorstwa na tzw. pokazach handlowych</w:t>
      </w:r>
      <w:r w:rsidR="00F178FE" w:rsidRPr="009B3C1B">
        <w:rPr>
          <w:rFonts w:ascii="Arial" w:hAnsi="Arial" w:cs="Arial"/>
        </w:rPr>
        <w:t xml:space="preserve"> w roku 2024 – tylko 38.</w:t>
      </w:r>
      <w:r w:rsidRPr="009B3C1B">
        <w:rPr>
          <w:rFonts w:ascii="Arial" w:hAnsi="Arial" w:cs="Arial"/>
        </w:rPr>
        <w:t xml:space="preserve"> Wynika to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prawdopodobnie z niemożności sprzedaży w okresie pandemii i konieczności zmiany branży przez przedsiębiorców handlujących na pokazach, a także ze zmiany przepisów ustawy 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prawach konsumenta i bardziej restrykcyjnych zasad dotyczących ich zawierania, a przede wszystkim niemożliwości pobierania zapłaty w okresie 14 dni pozwalających na odstąpienie od umowy. </w:t>
      </w:r>
      <w:r w:rsidR="00F178FE" w:rsidRPr="009B3C1B">
        <w:rPr>
          <w:rFonts w:ascii="Arial" w:hAnsi="Arial" w:cs="Arial"/>
        </w:rPr>
        <w:t xml:space="preserve"> </w:t>
      </w:r>
    </w:p>
    <w:p w14:paraId="498D5D7B" w14:textId="7E1A14D1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C. nieuczciwych praktyk rynkowych</w:t>
      </w:r>
      <w:r w:rsidRPr="009B3C1B">
        <w:rPr>
          <w:rFonts w:ascii="Arial" w:hAnsi="Arial" w:cs="Arial"/>
        </w:rPr>
        <w:t xml:space="preserve"> – </w:t>
      </w:r>
      <w:r w:rsidR="00060A17" w:rsidRPr="009B3C1B">
        <w:rPr>
          <w:rFonts w:ascii="Arial" w:hAnsi="Arial" w:cs="Arial"/>
        </w:rPr>
        <w:t xml:space="preserve">w roku 2023 – </w:t>
      </w:r>
      <w:r w:rsidRPr="009B3C1B">
        <w:rPr>
          <w:rFonts w:ascii="Arial" w:hAnsi="Arial" w:cs="Arial"/>
        </w:rPr>
        <w:t>84</w:t>
      </w:r>
      <w:r w:rsidR="00060A17" w:rsidRPr="009B3C1B">
        <w:rPr>
          <w:rFonts w:ascii="Arial" w:hAnsi="Arial" w:cs="Arial"/>
        </w:rPr>
        <w:t xml:space="preserve">, a w roku 2024r. - </w:t>
      </w:r>
      <w:r w:rsidR="00F178FE" w:rsidRPr="009B3C1B">
        <w:rPr>
          <w:rFonts w:ascii="Arial" w:hAnsi="Arial" w:cs="Arial"/>
        </w:rPr>
        <w:t>114</w:t>
      </w:r>
      <w:r w:rsidR="00060A17" w:rsidRPr="009B3C1B">
        <w:rPr>
          <w:rFonts w:ascii="Arial" w:hAnsi="Arial" w:cs="Arial"/>
        </w:rPr>
        <w:t>,</w:t>
      </w:r>
      <w:r w:rsidRPr="009B3C1B">
        <w:rPr>
          <w:rFonts w:ascii="Arial" w:hAnsi="Arial" w:cs="Arial"/>
        </w:rPr>
        <w:t xml:space="preserve"> z czego najwięcej porad dotyczyło umów zawartych w lokalu przedsiębiorstwa lub gdy nie miało to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znaczenia – </w:t>
      </w:r>
      <w:r w:rsidR="00060A17" w:rsidRPr="009B3C1B">
        <w:rPr>
          <w:rFonts w:ascii="Arial" w:hAnsi="Arial" w:cs="Arial"/>
        </w:rPr>
        <w:t xml:space="preserve">w 2023 – </w:t>
      </w:r>
      <w:r w:rsidRPr="009B3C1B">
        <w:rPr>
          <w:rFonts w:ascii="Arial" w:hAnsi="Arial" w:cs="Arial"/>
        </w:rPr>
        <w:t>50</w:t>
      </w:r>
      <w:r w:rsidR="00060A17" w:rsidRPr="009B3C1B">
        <w:rPr>
          <w:rFonts w:ascii="Arial" w:hAnsi="Arial" w:cs="Arial"/>
        </w:rPr>
        <w:t xml:space="preserve">, a w roku 2024 </w:t>
      </w:r>
      <w:r w:rsidRPr="009B3C1B">
        <w:rPr>
          <w:rFonts w:ascii="Arial" w:hAnsi="Arial" w:cs="Arial"/>
        </w:rPr>
        <w:t xml:space="preserve">- </w:t>
      </w:r>
      <w:r w:rsidR="00E643FE" w:rsidRPr="009B3C1B">
        <w:rPr>
          <w:rFonts w:ascii="Arial" w:hAnsi="Arial" w:cs="Arial"/>
        </w:rPr>
        <w:t>81</w:t>
      </w:r>
      <w:r w:rsidRPr="009B3C1B">
        <w:rPr>
          <w:rFonts w:ascii="Arial" w:hAnsi="Arial" w:cs="Arial"/>
        </w:rPr>
        <w:t>, na odległość –</w:t>
      </w:r>
      <w:r w:rsidR="00060A17" w:rsidRPr="009B3C1B">
        <w:rPr>
          <w:rFonts w:ascii="Arial" w:hAnsi="Arial" w:cs="Arial"/>
        </w:rPr>
        <w:t xml:space="preserve"> w roku 2023 –</w:t>
      </w:r>
      <w:r w:rsidRPr="009B3C1B">
        <w:rPr>
          <w:rFonts w:ascii="Arial" w:hAnsi="Arial" w:cs="Arial"/>
        </w:rPr>
        <w:t xml:space="preserve"> 28</w:t>
      </w:r>
      <w:r w:rsidR="00060A17" w:rsidRPr="009B3C1B">
        <w:rPr>
          <w:rFonts w:ascii="Arial" w:hAnsi="Arial" w:cs="Arial"/>
        </w:rPr>
        <w:t xml:space="preserve">, a </w:t>
      </w:r>
      <w:r w:rsidRPr="009B3C1B">
        <w:rPr>
          <w:rFonts w:ascii="Arial" w:hAnsi="Arial" w:cs="Arial"/>
        </w:rPr>
        <w:t>w roku 202</w:t>
      </w:r>
      <w:r w:rsidR="00060A17" w:rsidRPr="009B3C1B">
        <w:rPr>
          <w:rFonts w:ascii="Arial" w:hAnsi="Arial" w:cs="Arial"/>
        </w:rPr>
        <w:t>4 -</w:t>
      </w:r>
      <w:r w:rsidR="00E643FE" w:rsidRPr="009B3C1B">
        <w:rPr>
          <w:rFonts w:ascii="Arial" w:hAnsi="Arial" w:cs="Arial"/>
        </w:rPr>
        <w:t xml:space="preserve"> 32</w:t>
      </w:r>
      <w:r w:rsidRPr="009B3C1B">
        <w:rPr>
          <w:rFonts w:ascii="Arial" w:hAnsi="Arial" w:cs="Arial"/>
        </w:rPr>
        <w:t xml:space="preserve">), a poza lokalem </w:t>
      </w:r>
      <w:r w:rsidR="00060A17" w:rsidRPr="009B3C1B">
        <w:rPr>
          <w:rFonts w:ascii="Arial" w:hAnsi="Arial" w:cs="Arial"/>
        </w:rPr>
        <w:t xml:space="preserve">w 2023 roku </w:t>
      </w:r>
      <w:r w:rsidRPr="009B3C1B">
        <w:rPr>
          <w:rFonts w:ascii="Arial" w:hAnsi="Arial" w:cs="Arial"/>
        </w:rPr>
        <w:t>6</w:t>
      </w:r>
      <w:r w:rsidR="00060A17" w:rsidRPr="009B3C1B">
        <w:rPr>
          <w:rFonts w:ascii="Arial" w:hAnsi="Arial" w:cs="Arial"/>
        </w:rPr>
        <w:t xml:space="preserve">, a </w:t>
      </w:r>
      <w:r w:rsidRPr="009B3C1B">
        <w:rPr>
          <w:rFonts w:ascii="Arial" w:hAnsi="Arial" w:cs="Arial"/>
        </w:rPr>
        <w:t>w roku 202</w:t>
      </w:r>
      <w:r w:rsidR="00060A17" w:rsidRPr="009B3C1B">
        <w:rPr>
          <w:rFonts w:ascii="Arial" w:hAnsi="Arial" w:cs="Arial"/>
        </w:rPr>
        <w:t>4</w:t>
      </w:r>
      <w:r w:rsidR="00E643FE" w:rsidRPr="009B3C1B">
        <w:rPr>
          <w:rFonts w:ascii="Arial" w:hAnsi="Arial" w:cs="Arial"/>
        </w:rPr>
        <w:t xml:space="preserve"> - 1</w:t>
      </w:r>
      <w:r w:rsidR="00060A17" w:rsidRPr="009B3C1B">
        <w:rPr>
          <w:rFonts w:ascii="Arial" w:hAnsi="Arial" w:cs="Arial"/>
        </w:rPr>
        <w:t>.</w:t>
      </w:r>
      <w:r w:rsidRPr="009B3C1B">
        <w:rPr>
          <w:rFonts w:ascii="Arial" w:hAnsi="Arial" w:cs="Arial"/>
        </w:rPr>
        <w:t xml:space="preserve"> </w:t>
      </w:r>
    </w:p>
    <w:p w14:paraId="4F4815DE" w14:textId="443BEC0E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D. warunków umów w tym niedozwolonych postanowień</w:t>
      </w:r>
      <w:r w:rsidRPr="009B3C1B">
        <w:rPr>
          <w:rFonts w:ascii="Arial" w:hAnsi="Arial" w:cs="Arial"/>
        </w:rPr>
        <w:t xml:space="preserve"> – </w:t>
      </w:r>
      <w:r w:rsidR="00060A17" w:rsidRPr="009B3C1B">
        <w:rPr>
          <w:rFonts w:ascii="Arial" w:hAnsi="Arial" w:cs="Arial"/>
        </w:rPr>
        <w:t xml:space="preserve">w roku 2023 – </w:t>
      </w:r>
      <w:r w:rsidRPr="009B3C1B">
        <w:rPr>
          <w:rFonts w:ascii="Arial" w:hAnsi="Arial" w:cs="Arial"/>
        </w:rPr>
        <w:t>366</w:t>
      </w:r>
      <w:r w:rsidR="00060A17" w:rsidRPr="009B3C1B">
        <w:rPr>
          <w:rFonts w:ascii="Arial" w:hAnsi="Arial" w:cs="Arial"/>
        </w:rPr>
        <w:t>, a w roku 2024 -</w:t>
      </w:r>
      <w:r w:rsidR="00E643FE" w:rsidRPr="009B3C1B">
        <w:rPr>
          <w:rFonts w:ascii="Arial" w:hAnsi="Arial" w:cs="Arial"/>
        </w:rPr>
        <w:t xml:space="preserve"> 357</w:t>
      </w:r>
      <w:r w:rsidRPr="009B3C1B">
        <w:rPr>
          <w:rFonts w:ascii="Arial" w:hAnsi="Arial" w:cs="Arial"/>
        </w:rPr>
        <w:t xml:space="preserve">, z czego </w:t>
      </w:r>
      <w:r w:rsidR="00060A17" w:rsidRPr="009B3C1B">
        <w:rPr>
          <w:rFonts w:ascii="Arial" w:hAnsi="Arial" w:cs="Arial"/>
        </w:rPr>
        <w:t xml:space="preserve">odpowiednio w latach 2023/2024 – </w:t>
      </w:r>
      <w:r w:rsidRPr="009B3C1B">
        <w:rPr>
          <w:rFonts w:ascii="Arial" w:hAnsi="Arial" w:cs="Arial"/>
        </w:rPr>
        <w:t>321</w:t>
      </w:r>
      <w:r w:rsidR="00060A17" w:rsidRPr="009B3C1B">
        <w:rPr>
          <w:rFonts w:ascii="Arial" w:hAnsi="Arial" w:cs="Arial"/>
        </w:rPr>
        <w:t>/</w:t>
      </w:r>
      <w:r w:rsidR="00E643FE" w:rsidRPr="009B3C1B">
        <w:rPr>
          <w:rFonts w:ascii="Arial" w:hAnsi="Arial" w:cs="Arial"/>
        </w:rPr>
        <w:t xml:space="preserve">308 </w:t>
      </w:r>
      <w:r w:rsidRPr="009B3C1B">
        <w:rPr>
          <w:rFonts w:ascii="Arial" w:hAnsi="Arial" w:cs="Arial"/>
        </w:rPr>
        <w:t>dotyczyło umów w lokalu, 41</w:t>
      </w:r>
      <w:r w:rsidR="00060A17" w:rsidRPr="009B3C1B">
        <w:rPr>
          <w:rFonts w:ascii="Arial" w:hAnsi="Arial" w:cs="Arial"/>
        </w:rPr>
        <w:t>/</w:t>
      </w:r>
      <w:r w:rsidR="00E643FE" w:rsidRPr="009B3C1B">
        <w:rPr>
          <w:rFonts w:ascii="Arial" w:hAnsi="Arial" w:cs="Arial"/>
        </w:rPr>
        <w:t>44</w:t>
      </w:r>
      <w:r w:rsidRPr="009B3C1B">
        <w:rPr>
          <w:rFonts w:ascii="Arial" w:hAnsi="Arial" w:cs="Arial"/>
        </w:rPr>
        <w:t xml:space="preserve"> na odległość i 4</w:t>
      </w:r>
      <w:r w:rsidR="00060A17" w:rsidRPr="009B3C1B">
        <w:rPr>
          <w:rFonts w:ascii="Arial" w:hAnsi="Arial" w:cs="Arial"/>
        </w:rPr>
        <w:t>/</w:t>
      </w:r>
      <w:r w:rsidR="00E643FE" w:rsidRPr="009B3C1B">
        <w:rPr>
          <w:rFonts w:ascii="Arial" w:hAnsi="Arial" w:cs="Arial"/>
        </w:rPr>
        <w:t>5</w:t>
      </w:r>
      <w:r w:rsidRPr="009B3C1B">
        <w:rPr>
          <w:rFonts w:ascii="Arial" w:hAnsi="Arial" w:cs="Arial"/>
        </w:rPr>
        <w:t xml:space="preserve"> poza lokalem przedsiębiorstwa.</w:t>
      </w:r>
    </w:p>
    <w:p w14:paraId="77483ABD" w14:textId="0EE34C08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E. innych</w:t>
      </w:r>
      <w:r w:rsidRPr="009B3C1B">
        <w:rPr>
          <w:rFonts w:ascii="Arial" w:hAnsi="Arial" w:cs="Arial"/>
        </w:rPr>
        <w:t xml:space="preserve"> –</w:t>
      </w:r>
      <w:r w:rsidR="00060A17" w:rsidRPr="009B3C1B">
        <w:rPr>
          <w:rFonts w:ascii="Arial" w:hAnsi="Arial" w:cs="Arial"/>
        </w:rPr>
        <w:t xml:space="preserve"> w 2023 roku</w:t>
      </w:r>
      <w:r w:rsidRPr="009B3C1B">
        <w:rPr>
          <w:rFonts w:ascii="Arial" w:hAnsi="Arial" w:cs="Arial"/>
        </w:rPr>
        <w:t xml:space="preserve"> 83</w:t>
      </w:r>
      <w:r w:rsidR="00060A17" w:rsidRPr="009B3C1B">
        <w:rPr>
          <w:rFonts w:ascii="Arial" w:hAnsi="Arial" w:cs="Arial"/>
        </w:rPr>
        <w:t xml:space="preserve">, a w roku 2024 </w:t>
      </w:r>
      <w:r w:rsidR="00E643FE" w:rsidRPr="009B3C1B">
        <w:rPr>
          <w:rFonts w:ascii="Arial" w:hAnsi="Arial" w:cs="Arial"/>
        </w:rPr>
        <w:t xml:space="preserve">95 </w:t>
      </w:r>
      <w:r w:rsidRPr="009B3C1B">
        <w:rPr>
          <w:rFonts w:ascii="Arial" w:hAnsi="Arial" w:cs="Arial"/>
        </w:rPr>
        <w:t xml:space="preserve">z czego </w:t>
      </w:r>
      <w:r w:rsidR="00060A17" w:rsidRPr="009B3C1B">
        <w:rPr>
          <w:rFonts w:ascii="Arial" w:hAnsi="Arial" w:cs="Arial"/>
        </w:rPr>
        <w:t xml:space="preserve">odpowiednio w latach 2023/2024  - </w:t>
      </w:r>
      <w:r w:rsidRPr="009B3C1B">
        <w:rPr>
          <w:rFonts w:ascii="Arial" w:hAnsi="Arial" w:cs="Arial"/>
        </w:rPr>
        <w:t>64</w:t>
      </w:r>
      <w:r w:rsidR="00060A17" w:rsidRPr="009B3C1B">
        <w:rPr>
          <w:rFonts w:ascii="Arial" w:hAnsi="Arial" w:cs="Arial"/>
        </w:rPr>
        <w:t>/</w:t>
      </w:r>
      <w:r w:rsidR="00E643FE" w:rsidRPr="009B3C1B">
        <w:rPr>
          <w:rFonts w:ascii="Arial" w:hAnsi="Arial" w:cs="Arial"/>
        </w:rPr>
        <w:t>84</w:t>
      </w:r>
      <w:r w:rsidRPr="009B3C1B">
        <w:rPr>
          <w:rFonts w:ascii="Arial" w:hAnsi="Arial" w:cs="Arial"/>
        </w:rPr>
        <w:t xml:space="preserve"> </w:t>
      </w:r>
      <w:r w:rsidR="00060A17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 xml:space="preserve"> w lokalu przedsiębiorcy, na odległość 19</w:t>
      </w:r>
      <w:r w:rsidR="00060A17" w:rsidRPr="009B3C1B">
        <w:rPr>
          <w:rFonts w:ascii="Arial" w:hAnsi="Arial" w:cs="Arial"/>
        </w:rPr>
        <w:t>/</w:t>
      </w:r>
      <w:r w:rsidR="00E643FE" w:rsidRPr="009B3C1B">
        <w:rPr>
          <w:rFonts w:ascii="Arial" w:hAnsi="Arial" w:cs="Arial"/>
        </w:rPr>
        <w:t>11.</w:t>
      </w:r>
      <w:r w:rsidRPr="009B3C1B">
        <w:rPr>
          <w:rFonts w:ascii="Arial" w:hAnsi="Arial" w:cs="Arial"/>
        </w:rPr>
        <w:t xml:space="preserve"> Porad dotyczących umów zawartych poza lokalem przedsiębiorstwa </w:t>
      </w:r>
      <w:r w:rsidR="00060A17" w:rsidRPr="009B3C1B">
        <w:rPr>
          <w:rFonts w:ascii="Arial" w:hAnsi="Arial" w:cs="Arial"/>
        </w:rPr>
        <w:t xml:space="preserve">w 2023 </w:t>
      </w:r>
      <w:r w:rsidR="00E643FE" w:rsidRPr="009B3C1B">
        <w:rPr>
          <w:rFonts w:ascii="Arial" w:hAnsi="Arial" w:cs="Arial"/>
        </w:rPr>
        <w:t xml:space="preserve">i 2024 </w:t>
      </w:r>
      <w:r w:rsidR="00060A17" w:rsidRPr="009B3C1B">
        <w:rPr>
          <w:rFonts w:ascii="Arial" w:hAnsi="Arial" w:cs="Arial"/>
        </w:rPr>
        <w:t xml:space="preserve">roku </w:t>
      </w:r>
      <w:r w:rsidRPr="009B3C1B">
        <w:rPr>
          <w:rFonts w:ascii="Arial" w:hAnsi="Arial" w:cs="Arial"/>
        </w:rPr>
        <w:t>nie odnotowano</w:t>
      </w:r>
      <w:r w:rsidR="00E643FE" w:rsidRPr="009B3C1B">
        <w:rPr>
          <w:rFonts w:ascii="Arial" w:hAnsi="Arial" w:cs="Arial"/>
        </w:rPr>
        <w:t xml:space="preserve">. </w:t>
      </w:r>
    </w:p>
    <w:p w14:paraId="29026EFB" w14:textId="1D602E2B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Podsumowując, w zakresie wadliwości i warunków umów najwięcej problemów zgłaszali konsumenci zawierający umowy w tradycyjny sposób w lokalu przedsiębiorstwa. Podobnie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zakresie nieuczciwych praktyk rynkowych oraz rozwiązania umowy najwięcej porad dotyczyło umów zawartych w siedzibie przedsiębiorcy.</w:t>
      </w:r>
    </w:p>
    <w:p w14:paraId="469B4025" w14:textId="28E497F1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</w:p>
    <w:p w14:paraId="4CF899AB" w14:textId="4BC66EAF" w:rsidR="00AB5FB9" w:rsidRPr="009B3C1B" w:rsidRDefault="00931B97" w:rsidP="009B3C1B">
      <w:pPr>
        <w:spacing w:line="240" w:lineRule="auto"/>
        <w:jc w:val="both"/>
        <w:rPr>
          <w:rFonts w:ascii="Arial" w:hAnsi="Arial" w:cs="Arial"/>
          <w:b/>
          <w:bCs/>
          <w:u w:val="single"/>
        </w:rPr>
      </w:pPr>
      <w:r w:rsidRPr="009B3C1B">
        <w:rPr>
          <w:rFonts w:ascii="Arial" w:hAnsi="Arial" w:cs="Arial"/>
          <w:b/>
          <w:bCs/>
          <w:u w:val="single"/>
        </w:rPr>
        <w:t>Porady w odniesieniu do branży;</w:t>
      </w:r>
    </w:p>
    <w:p w14:paraId="782C0C56" w14:textId="73440CC6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A.</w:t>
      </w:r>
      <w:r w:rsidR="00931B97" w:rsidRPr="009B3C1B">
        <w:rPr>
          <w:rFonts w:ascii="Arial" w:hAnsi="Arial" w:cs="Arial"/>
          <w:b/>
          <w:bCs/>
        </w:rPr>
        <w:t xml:space="preserve"> </w:t>
      </w:r>
      <w:r w:rsidR="006E5AF4" w:rsidRPr="009B3C1B">
        <w:rPr>
          <w:rFonts w:ascii="Arial" w:hAnsi="Arial" w:cs="Arial"/>
          <w:b/>
          <w:bCs/>
        </w:rPr>
        <w:t xml:space="preserve">w zakresie sprzedaży </w:t>
      </w:r>
    </w:p>
    <w:p w14:paraId="4CE22991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2023r. w zależności od sektora/ branży (poniżej 4 najpopularniejsze sektory) udzielono: </w:t>
      </w:r>
    </w:p>
    <w:p w14:paraId="1B616FED" w14:textId="3559FEB2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1.urządzenia gospodarstwa domowego, urządzenia elektroniczne i sprzęt komputerowy</w:t>
      </w:r>
      <w:r w:rsidRPr="009B3C1B">
        <w:rPr>
          <w:rFonts w:ascii="Arial" w:hAnsi="Arial" w:cs="Arial"/>
        </w:rPr>
        <w:t xml:space="preserve"> (RTV AGD) – 349 porad;</w:t>
      </w:r>
    </w:p>
    <w:p w14:paraId="040F9F2F" w14:textId="7E30385A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2.odzież i obuwie</w:t>
      </w:r>
      <w:r w:rsidRPr="009B3C1B">
        <w:rPr>
          <w:rFonts w:ascii="Arial" w:hAnsi="Arial" w:cs="Arial"/>
        </w:rPr>
        <w:t xml:space="preserve"> – 268 porad - spadek do roku </w:t>
      </w:r>
      <w:r w:rsidR="006E5AF4" w:rsidRPr="009B3C1B">
        <w:rPr>
          <w:rFonts w:ascii="Arial" w:hAnsi="Arial" w:cs="Arial"/>
        </w:rPr>
        <w:t>2022</w:t>
      </w:r>
      <w:r w:rsidRPr="009B3C1B">
        <w:rPr>
          <w:rFonts w:ascii="Arial" w:hAnsi="Arial" w:cs="Arial"/>
        </w:rPr>
        <w:t xml:space="preserve"> i utrzymujący się spadek w odniesieniu do lat poprzednich </w:t>
      </w:r>
    </w:p>
    <w:p w14:paraId="665A7782" w14:textId="3550AC58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3.meble i artykuły wyposażenia wnętrz</w:t>
      </w:r>
      <w:r w:rsidRPr="009B3C1B">
        <w:rPr>
          <w:rFonts w:ascii="Arial" w:hAnsi="Arial" w:cs="Arial"/>
        </w:rPr>
        <w:t>– 190 porad</w:t>
      </w:r>
      <w:r w:rsidR="00294803" w:rsidRPr="009B3C1B">
        <w:rPr>
          <w:rFonts w:ascii="Arial" w:hAnsi="Arial" w:cs="Arial"/>
        </w:rPr>
        <w:t>,</w:t>
      </w:r>
    </w:p>
    <w:p w14:paraId="37A7A13A" w14:textId="0ED62AAB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4.samochody i środki transportu osobistego</w:t>
      </w:r>
      <w:r w:rsidRPr="009B3C1B">
        <w:rPr>
          <w:rFonts w:ascii="Arial" w:hAnsi="Arial" w:cs="Arial"/>
        </w:rPr>
        <w:t xml:space="preserve"> - 99 porady.</w:t>
      </w:r>
    </w:p>
    <w:p w14:paraId="56115CD2" w14:textId="77777777" w:rsidR="006E5AF4" w:rsidRPr="009B3C1B" w:rsidRDefault="006E5AF4" w:rsidP="009B3C1B">
      <w:pPr>
        <w:spacing w:line="240" w:lineRule="auto"/>
        <w:jc w:val="both"/>
        <w:rPr>
          <w:rFonts w:ascii="Arial" w:hAnsi="Arial" w:cs="Arial"/>
        </w:rPr>
      </w:pPr>
    </w:p>
    <w:p w14:paraId="31DBA810" w14:textId="0A08316A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2024 roku w zależności od sektora/branży (poniżej 4 najpopularniejsze sektory) udzielono:</w:t>
      </w:r>
    </w:p>
    <w:p w14:paraId="346EAB63" w14:textId="7BA9186B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</w:t>
      </w:r>
      <w:r w:rsidR="00294803" w:rsidRPr="009B3C1B">
        <w:rPr>
          <w:rFonts w:ascii="Arial" w:hAnsi="Arial" w:cs="Arial"/>
          <w:b/>
          <w:bCs/>
        </w:rPr>
        <w:t xml:space="preserve"> urządzenia gospodarstwa domowego, urządzenia elektroniczne i sprzęt komputerowy</w:t>
      </w:r>
      <w:r w:rsidR="00294803" w:rsidRPr="009B3C1B">
        <w:rPr>
          <w:rFonts w:ascii="Arial" w:hAnsi="Arial" w:cs="Arial"/>
        </w:rPr>
        <w:t xml:space="preserve"> (RTV AGD) – 389  wzrost w stosunku do roku poprzedniego o 40 porad;</w:t>
      </w:r>
    </w:p>
    <w:p w14:paraId="596D5C10" w14:textId="0E3A177A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</w:t>
      </w:r>
      <w:r w:rsidR="00294803" w:rsidRPr="009B3C1B">
        <w:rPr>
          <w:rFonts w:ascii="Arial" w:hAnsi="Arial" w:cs="Arial"/>
          <w:b/>
          <w:bCs/>
        </w:rPr>
        <w:t xml:space="preserve"> odzież i obuwie – 304 porady</w:t>
      </w:r>
      <w:r w:rsidR="00294803" w:rsidRPr="009B3C1B">
        <w:rPr>
          <w:rFonts w:ascii="Arial" w:hAnsi="Arial" w:cs="Arial"/>
        </w:rPr>
        <w:t xml:space="preserve"> (rok 2023 – 268; rok 2022- 329; rok 2021 – 282; rok 2020 – 354; rok 2019 – 539; rok 2018 – 573, rok 2017 – 650, rok 2016 – 823, rok 2015 – 961, rok </w:t>
      </w:r>
      <w:r w:rsidR="00294803" w:rsidRPr="009B3C1B">
        <w:rPr>
          <w:rFonts w:ascii="Arial" w:hAnsi="Arial" w:cs="Arial"/>
        </w:rPr>
        <w:lastRenderedPageBreak/>
        <w:t>2014 – 1170). W ciągu dziesięciu ostatnich lat ilość porad w sprawie obuwia i odzieży spadła mniej więcej o 3/4;</w:t>
      </w:r>
    </w:p>
    <w:p w14:paraId="6720C276" w14:textId="12B4410F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</w:t>
      </w:r>
      <w:r w:rsidR="00294803" w:rsidRPr="009B3C1B">
        <w:rPr>
          <w:rFonts w:ascii="Arial" w:hAnsi="Arial" w:cs="Arial"/>
          <w:b/>
          <w:bCs/>
        </w:rPr>
        <w:t xml:space="preserve"> meble i artykuły wyposażenia wnętrz </w:t>
      </w:r>
      <w:r w:rsidR="00294803" w:rsidRPr="009B3C1B">
        <w:rPr>
          <w:rFonts w:ascii="Arial" w:hAnsi="Arial" w:cs="Arial"/>
        </w:rPr>
        <w:t xml:space="preserve">– 163 porad (rok 2023 – 190); </w:t>
      </w:r>
    </w:p>
    <w:p w14:paraId="68F92B05" w14:textId="51B56336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4.</w:t>
      </w:r>
      <w:r w:rsidR="00294803" w:rsidRPr="009B3C1B">
        <w:rPr>
          <w:rFonts w:ascii="Arial" w:hAnsi="Arial" w:cs="Arial"/>
          <w:b/>
          <w:bCs/>
        </w:rPr>
        <w:t xml:space="preserve"> samochody i środki transportu osobistego</w:t>
      </w:r>
      <w:r w:rsidR="00294803" w:rsidRPr="009B3C1B">
        <w:rPr>
          <w:rFonts w:ascii="Arial" w:hAnsi="Arial" w:cs="Arial"/>
        </w:rPr>
        <w:t xml:space="preserve"> – 123 ( rok 2023 - 99 porad).</w:t>
      </w:r>
    </w:p>
    <w:p w14:paraId="7150AA51" w14:textId="7F5D1B81" w:rsidR="00AB5FB9" w:rsidRPr="009B3C1B" w:rsidRDefault="00294803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 </w:t>
      </w:r>
    </w:p>
    <w:p w14:paraId="3EA2CD47" w14:textId="47D9753B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 xml:space="preserve">B. W </w:t>
      </w:r>
      <w:r w:rsidR="00946C85" w:rsidRPr="009B3C1B">
        <w:rPr>
          <w:rFonts w:ascii="Arial" w:hAnsi="Arial" w:cs="Arial"/>
          <w:b/>
          <w:bCs/>
        </w:rPr>
        <w:t>zakresie usług</w:t>
      </w:r>
    </w:p>
    <w:p w14:paraId="3B300EDA" w14:textId="775C69B9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2023 roku w zależności od sektora/branży (poniżej 4 najpopularniejsze sektory) udzielono</w:t>
      </w:r>
    </w:p>
    <w:p w14:paraId="06A9ED58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  transportowe</w:t>
      </w:r>
      <w:r w:rsidRPr="009B3C1B">
        <w:rPr>
          <w:rFonts w:ascii="Arial" w:hAnsi="Arial" w:cs="Arial"/>
        </w:rPr>
        <w:t xml:space="preserve"> – 155 (rok 2022- 101; rok 2021 – 41; rok 2020- 52; rok 2019 - 40;rok 2018 - 41) znaczny wzrost do lat ubiegłych.</w:t>
      </w:r>
    </w:p>
    <w:p w14:paraId="4003068F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 bieżąca konserwacja, utrzymanie domu, drobne naprawy, pielęgnacja</w:t>
      </w:r>
      <w:r w:rsidRPr="009B3C1B">
        <w:rPr>
          <w:rFonts w:ascii="Arial" w:hAnsi="Arial" w:cs="Arial"/>
        </w:rPr>
        <w:t>- 119 (rok 2022 – 167; rok 2021 – 146; rok 2020 – 158; rok 2019 – 201).</w:t>
      </w:r>
    </w:p>
    <w:p w14:paraId="4F1F81A0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 telekomunikacyjne</w:t>
      </w:r>
      <w:r w:rsidRPr="009B3C1B">
        <w:rPr>
          <w:rFonts w:ascii="Arial" w:hAnsi="Arial" w:cs="Arial"/>
        </w:rPr>
        <w:t xml:space="preserve"> – 106 prawie identyczna ilość do roku ubiegłego (rok 2022 – 105; rok 2021 – 146; rok 2020 – 163; rok 2019 – 207; rok 2018 – 254, rok 2017 - 384; rok 2016 – 331, rok 2015 – 373, rok 2014 – 314); sukcesywny spadek porad w branży telekomunikacyjnej. Aktualnie problemy dotyczą najczęściej nienależytego wykonywania umów czy warunków umów, a także nieuczciwych praktyk wprowadzających w błąd na etapie ich zawierania. </w:t>
      </w:r>
    </w:p>
    <w:p w14:paraId="06BCC3A0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4. sektor energetyczny i wodny</w:t>
      </w:r>
      <w:r w:rsidRPr="009B3C1B">
        <w:rPr>
          <w:rFonts w:ascii="Arial" w:hAnsi="Arial" w:cs="Arial"/>
        </w:rPr>
        <w:t xml:space="preserve"> – 100 porad – niemal tyle samo, co w roku poprzednim (rok 2022 – 101; rok 2021 – 91; rok 2020 –80; rok 2019 – 117; rok 2018 – 123). </w:t>
      </w:r>
    </w:p>
    <w:p w14:paraId="0FBE2188" w14:textId="77777777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</w:p>
    <w:p w14:paraId="117D7A99" w14:textId="2F50E395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2024 roku w zależności od sektora/branży (poniżej 4 najpopularniejsze sektory) udzielono:</w:t>
      </w:r>
    </w:p>
    <w:p w14:paraId="248452EE" w14:textId="1D35443A" w:rsidR="00D13374" w:rsidRPr="009B3C1B" w:rsidRDefault="00294803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1.transportowe</w:t>
      </w:r>
      <w:r w:rsidRPr="009B3C1B">
        <w:rPr>
          <w:rFonts w:ascii="Arial" w:hAnsi="Arial" w:cs="Arial"/>
        </w:rPr>
        <w:t xml:space="preserve"> – 160 (rok 2023 – 155; rok 2022- 101; rok 2021 – 41; rok 2020- 52; rok 2019 - 40;rok 2018 - 41) znaczny wzrost do lat ubiegłych 2019/21</w:t>
      </w:r>
    </w:p>
    <w:p w14:paraId="3691363F" w14:textId="53A358F5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</w:t>
      </w:r>
      <w:r w:rsidR="00294803" w:rsidRPr="009B3C1B">
        <w:rPr>
          <w:rFonts w:ascii="Arial" w:hAnsi="Arial" w:cs="Arial"/>
          <w:b/>
          <w:bCs/>
        </w:rPr>
        <w:t xml:space="preserve"> telekomunikacyjne</w:t>
      </w:r>
      <w:r w:rsidR="00294803" w:rsidRPr="009B3C1B">
        <w:rPr>
          <w:rFonts w:ascii="Arial" w:hAnsi="Arial" w:cs="Arial"/>
        </w:rPr>
        <w:t xml:space="preserve"> – 125 lekki wzrost do roku ubiegłego (rok 2023 – 106; rok 2022 – 105; rok 2021 – 146; rok 2020 – 163; rok 2019 – 207; rok 2018 – 254, rok 2017 - 384; rok 2016 – 331, rok 2015 – 373, rok 2014 – 314); sukcesywny spadek porad w branży telekomunikacyjnej</w:t>
      </w:r>
      <w:r w:rsidR="00AF64BA" w:rsidRPr="009B3C1B">
        <w:rPr>
          <w:rFonts w:ascii="Arial" w:hAnsi="Arial" w:cs="Arial"/>
        </w:rPr>
        <w:t xml:space="preserve"> i podobna liczba na przestrzeni 2022-2024</w:t>
      </w:r>
      <w:r w:rsidR="00294803" w:rsidRPr="009B3C1B">
        <w:rPr>
          <w:rFonts w:ascii="Arial" w:hAnsi="Arial" w:cs="Arial"/>
        </w:rPr>
        <w:t>. Aktualnie problemy dotyczą najczęściej nienależytego wykonywania umów czy warunków umów, a także nieuczciwych praktyk wprowadzających w błąd na etapie ich zawierania</w:t>
      </w:r>
    </w:p>
    <w:p w14:paraId="0B01139F" w14:textId="1FA3D995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</w:t>
      </w:r>
      <w:r w:rsidR="00AF64BA" w:rsidRPr="009B3C1B">
        <w:rPr>
          <w:rFonts w:ascii="Arial" w:hAnsi="Arial" w:cs="Arial"/>
          <w:b/>
          <w:bCs/>
        </w:rPr>
        <w:t xml:space="preserve"> bieżąca konserwacja, utrzymanie domu, drobne naprawy, pielęgnacja</w:t>
      </w:r>
      <w:r w:rsidR="00AF64BA" w:rsidRPr="009B3C1B">
        <w:rPr>
          <w:rFonts w:ascii="Arial" w:hAnsi="Arial" w:cs="Arial"/>
        </w:rPr>
        <w:t>- 117 (rok 2023 – 119; rok 2022 – 167; rok 2021 – 146; rok 2020 – 158; rok 2019 – 201).</w:t>
      </w:r>
    </w:p>
    <w:p w14:paraId="3D6B9FEA" w14:textId="2E533BDE" w:rsidR="003113A7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4.</w:t>
      </w:r>
      <w:r w:rsidR="00AF64BA" w:rsidRPr="009B3C1B">
        <w:rPr>
          <w:rFonts w:ascii="Arial" w:hAnsi="Arial" w:cs="Arial"/>
        </w:rPr>
        <w:t xml:space="preserve"> </w:t>
      </w:r>
      <w:r w:rsidR="006E5AF4" w:rsidRPr="009B3C1B">
        <w:rPr>
          <w:rFonts w:ascii="Arial" w:hAnsi="Arial" w:cs="Arial"/>
        </w:rPr>
        <w:t>w</w:t>
      </w:r>
      <w:r w:rsidR="00AF64BA" w:rsidRPr="009B3C1B">
        <w:rPr>
          <w:rFonts w:ascii="Arial" w:hAnsi="Arial" w:cs="Arial"/>
        </w:rPr>
        <w:t xml:space="preserve"> </w:t>
      </w:r>
      <w:r w:rsidR="00AF64BA" w:rsidRPr="009B3C1B">
        <w:rPr>
          <w:rFonts w:ascii="Arial" w:hAnsi="Arial" w:cs="Arial"/>
          <w:b/>
          <w:bCs/>
        </w:rPr>
        <w:t>branży turystycznej</w:t>
      </w:r>
      <w:r w:rsidR="00AF64BA" w:rsidRPr="009B3C1B">
        <w:rPr>
          <w:rFonts w:ascii="Arial" w:hAnsi="Arial" w:cs="Arial"/>
        </w:rPr>
        <w:t xml:space="preserve"> wzrost 101 ( 2023 - 68; 2022 – 79; 2021-91; znaczny spadek w</w:t>
      </w:r>
      <w:r w:rsidR="002A26B3" w:rsidRPr="009B3C1B">
        <w:rPr>
          <w:rFonts w:ascii="Arial" w:hAnsi="Arial" w:cs="Arial"/>
        </w:rPr>
        <w:t> </w:t>
      </w:r>
      <w:r w:rsidR="00AF64BA" w:rsidRPr="009B3C1B">
        <w:rPr>
          <w:rFonts w:ascii="Arial" w:hAnsi="Arial" w:cs="Arial"/>
        </w:rPr>
        <w:t xml:space="preserve">stosunku do roku 2020 – 318 i lat 2017- 2019). </w:t>
      </w:r>
    </w:p>
    <w:p w14:paraId="0C67D896" w14:textId="4877F7D6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Na lekko </w:t>
      </w:r>
      <w:r w:rsidR="00AF64BA" w:rsidRPr="009B3C1B">
        <w:rPr>
          <w:rFonts w:ascii="Arial" w:hAnsi="Arial" w:cs="Arial"/>
        </w:rPr>
        <w:t>wyższym</w:t>
      </w:r>
      <w:r w:rsidRPr="009B3C1B">
        <w:rPr>
          <w:rFonts w:ascii="Arial" w:hAnsi="Arial" w:cs="Arial"/>
        </w:rPr>
        <w:t xml:space="preserve"> poziomie do roku ubiegłego kształtowała się ilość porad w zakresie ubezpieczeń – </w:t>
      </w:r>
      <w:r w:rsidR="00AF64BA" w:rsidRPr="009B3C1B">
        <w:rPr>
          <w:rFonts w:ascii="Arial" w:hAnsi="Arial" w:cs="Arial"/>
        </w:rPr>
        <w:t>83</w:t>
      </w:r>
      <w:r w:rsidRPr="009B3C1B">
        <w:rPr>
          <w:rFonts w:ascii="Arial" w:hAnsi="Arial" w:cs="Arial"/>
        </w:rPr>
        <w:t xml:space="preserve"> (</w:t>
      </w:r>
      <w:r w:rsidR="00AF64BA" w:rsidRPr="009B3C1B">
        <w:rPr>
          <w:rFonts w:ascii="Arial" w:hAnsi="Arial" w:cs="Arial"/>
        </w:rPr>
        <w:t xml:space="preserve">2023- 71;2022 – 85; </w:t>
      </w:r>
      <w:r w:rsidRPr="009B3C1B">
        <w:rPr>
          <w:rFonts w:ascii="Arial" w:hAnsi="Arial" w:cs="Arial"/>
        </w:rPr>
        <w:t>89/93 w 2021/2020z tendencją spadkową do lat poprzednich (rok 2019 – 147, rok 2018 – 132, rok 2017 – 165, rok 2016 – 149, rok 2015 – 188, rok 2014 – 194). W kategorii usług finansowych w 202</w:t>
      </w:r>
      <w:r w:rsidR="00AF64BA" w:rsidRPr="009B3C1B">
        <w:rPr>
          <w:rFonts w:ascii="Arial" w:hAnsi="Arial" w:cs="Arial"/>
        </w:rPr>
        <w:t>4</w:t>
      </w:r>
      <w:r w:rsidRPr="009B3C1B">
        <w:rPr>
          <w:rFonts w:ascii="Arial" w:hAnsi="Arial" w:cs="Arial"/>
        </w:rPr>
        <w:t xml:space="preserve"> roku zanotowano </w:t>
      </w:r>
      <w:r w:rsidR="00AF64BA" w:rsidRPr="009B3C1B">
        <w:rPr>
          <w:rFonts w:ascii="Arial" w:hAnsi="Arial" w:cs="Arial"/>
        </w:rPr>
        <w:t xml:space="preserve">64 </w:t>
      </w:r>
      <w:r w:rsidRPr="009B3C1B">
        <w:rPr>
          <w:rFonts w:ascii="Arial" w:hAnsi="Arial" w:cs="Arial"/>
        </w:rPr>
        <w:t>porad</w:t>
      </w:r>
      <w:r w:rsidR="00AF64BA" w:rsidRPr="009B3C1B">
        <w:rPr>
          <w:rFonts w:ascii="Arial" w:hAnsi="Arial" w:cs="Arial"/>
        </w:rPr>
        <w:t xml:space="preserve">y </w:t>
      </w:r>
      <w:r w:rsidRPr="009B3C1B">
        <w:rPr>
          <w:rFonts w:ascii="Arial" w:hAnsi="Arial" w:cs="Arial"/>
        </w:rPr>
        <w:t xml:space="preserve">( </w:t>
      </w:r>
      <w:r w:rsidR="00AF64BA" w:rsidRPr="009B3C1B">
        <w:rPr>
          <w:rFonts w:ascii="Arial" w:hAnsi="Arial" w:cs="Arial"/>
        </w:rPr>
        <w:t xml:space="preserve">rok 2023 – 51; </w:t>
      </w:r>
      <w:r w:rsidRPr="009B3C1B">
        <w:rPr>
          <w:rFonts w:ascii="Arial" w:hAnsi="Arial" w:cs="Arial"/>
        </w:rPr>
        <w:t>rok – 2022 – 98; rok 2021- 54; rok 2020- 104; rok 2019 – 128).</w:t>
      </w:r>
    </w:p>
    <w:p w14:paraId="4065A43B" w14:textId="20523B94" w:rsidR="00AB5FB9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zakresie konserwacji i naprawy pojazdów udzielono </w:t>
      </w:r>
      <w:r w:rsidR="00AF64BA" w:rsidRPr="009B3C1B">
        <w:rPr>
          <w:rFonts w:ascii="Arial" w:hAnsi="Arial" w:cs="Arial"/>
        </w:rPr>
        <w:t xml:space="preserve">40 </w:t>
      </w:r>
      <w:r w:rsidRPr="009B3C1B">
        <w:rPr>
          <w:rFonts w:ascii="Arial" w:hAnsi="Arial" w:cs="Arial"/>
        </w:rPr>
        <w:t>porad (</w:t>
      </w:r>
      <w:r w:rsidR="00AF64BA" w:rsidRPr="009B3C1B">
        <w:rPr>
          <w:rFonts w:ascii="Arial" w:hAnsi="Arial" w:cs="Arial"/>
        </w:rPr>
        <w:t>w roku 2023 – 41;</w:t>
      </w:r>
      <w:r w:rsidRPr="009B3C1B">
        <w:rPr>
          <w:rFonts w:ascii="Arial" w:hAnsi="Arial" w:cs="Arial"/>
        </w:rPr>
        <w:t>w roku 2022 – 53; w roku 2021 – 59; w roku 2020 -72; w roku 2019 - 77), a w zakresie związanym z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rynkiem nieruchomości – </w:t>
      </w:r>
      <w:r w:rsidR="003113A7" w:rsidRPr="009B3C1B">
        <w:rPr>
          <w:rFonts w:ascii="Arial" w:hAnsi="Arial" w:cs="Arial"/>
        </w:rPr>
        <w:t>47</w:t>
      </w:r>
      <w:r w:rsidRPr="009B3C1B">
        <w:rPr>
          <w:rFonts w:ascii="Arial" w:hAnsi="Arial" w:cs="Arial"/>
        </w:rPr>
        <w:t xml:space="preserve"> (</w:t>
      </w:r>
      <w:r w:rsidR="003113A7" w:rsidRPr="009B3C1B">
        <w:rPr>
          <w:rFonts w:ascii="Arial" w:hAnsi="Arial" w:cs="Arial"/>
        </w:rPr>
        <w:t>rok 2023 – 38;</w:t>
      </w:r>
      <w:r w:rsidRPr="009B3C1B">
        <w:rPr>
          <w:rFonts w:ascii="Arial" w:hAnsi="Arial" w:cs="Arial"/>
        </w:rPr>
        <w:t>rok 2022 – 46; rok 2021 – 54; rok 2020 – 43, rok 2019 – 57).</w:t>
      </w:r>
    </w:p>
    <w:p w14:paraId="396FBDDB" w14:textId="77777777" w:rsidR="005847F0" w:rsidRPr="009B3C1B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165A4161" w14:textId="406F3EE0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lastRenderedPageBreak/>
        <w:t xml:space="preserve">Statystyki pokazują, że w roku 2023 najpopularniejsze były zagadnienia z zakresu usług transportowych (parkingi), branży energetycznej oraz telekomunikacji. </w:t>
      </w:r>
      <w:r w:rsidR="003113A7" w:rsidRPr="009B3C1B">
        <w:rPr>
          <w:rFonts w:ascii="Arial" w:hAnsi="Arial" w:cs="Arial"/>
          <w:b/>
          <w:bCs/>
        </w:rPr>
        <w:t>Natomiast w</w:t>
      </w:r>
      <w:r w:rsidR="002A26B3" w:rsidRPr="009B3C1B">
        <w:rPr>
          <w:rFonts w:ascii="Arial" w:hAnsi="Arial" w:cs="Arial"/>
          <w:b/>
          <w:bCs/>
        </w:rPr>
        <w:t> </w:t>
      </w:r>
      <w:r w:rsidR="003113A7" w:rsidRPr="009B3C1B">
        <w:rPr>
          <w:rFonts w:ascii="Arial" w:hAnsi="Arial" w:cs="Arial"/>
          <w:b/>
          <w:bCs/>
        </w:rPr>
        <w:t>roku 2024 najpopularniejsze były usługi transportowe i telekomunikacyjne oraz n</w:t>
      </w:r>
      <w:r w:rsidRPr="009B3C1B">
        <w:rPr>
          <w:rFonts w:ascii="Arial" w:hAnsi="Arial" w:cs="Arial"/>
          <w:b/>
          <w:bCs/>
        </w:rPr>
        <w:t xml:space="preserve">astąpił </w:t>
      </w:r>
      <w:r w:rsidR="003113A7" w:rsidRPr="009B3C1B">
        <w:rPr>
          <w:rFonts w:ascii="Arial" w:hAnsi="Arial" w:cs="Arial"/>
          <w:b/>
          <w:bCs/>
        </w:rPr>
        <w:t>wzrost porad dot.</w:t>
      </w:r>
      <w:r w:rsidRPr="009B3C1B">
        <w:rPr>
          <w:rFonts w:ascii="Arial" w:hAnsi="Arial" w:cs="Arial"/>
          <w:b/>
          <w:bCs/>
        </w:rPr>
        <w:t xml:space="preserve"> zagadnień turystycznych w stosunku do </w:t>
      </w:r>
      <w:r w:rsidR="003113A7" w:rsidRPr="009B3C1B">
        <w:rPr>
          <w:rFonts w:ascii="Arial" w:hAnsi="Arial" w:cs="Arial"/>
          <w:b/>
          <w:bCs/>
        </w:rPr>
        <w:t>roku ubiegłego</w:t>
      </w:r>
      <w:r w:rsidRPr="009B3C1B">
        <w:rPr>
          <w:rFonts w:ascii="Arial" w:hAnsi="Arial" w:cs="Arial"/>
          <w:b/>
          <w:bCs/>
        </w:rPr>
        <w:t xml:space="preserve">.    </w:t>
      </w:r>
    </w:p>
    <w:p w14:paraId="169EC801" w14:textId="2CD5854D" w:rsidR="00D13374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roku 202</w:t>
      </w:r>
      <w:r w:rsidR="003113A7" w:rsidRPr="009B3C1B">
        <w:rPr>
          <w:rFonts w:ascii="Arial" w:hAnsi="Arial" w:cs="Arial"/>
        </w:rPr>
        <w:t>4</w:t>
      </w:r>
      <w:r w:rsidRPr="009B3C1B">
        <w:rPr>
          <w:rFonts w:ascii="Arial" w:hAnsi="Arial" w:cs="Arial"/>
        </w:rPr>
        <w:t xml:space="preserve"> podobnie jak w latach 202</w:t>
      </w:r>
      <w:r w:rsidR="003113A7" w:rsidRPr="009B3C1B">
        <w:rPr>
          <w:rFonts w:ascii="Arial" w:hAnsi="Arial" w:cs="Arial"/>
        </w:rPr>
        <w:t>3</w:t>
      </w:r>
      <w:r w:rsidRPr="009B3C1B">
        <w:rPr>
          <w:rFonts w:ascii="Arial" w:hAnsi="Arial" w:cs="Arial"/>
        </w:rPr>
        <w:t xml:space="preserve">/2018 nadal popularne były zagadnienia z rynku motoryzacyjnego. W sumie w zakresie sprzedaży i usług w tych branżach udzielono </w:t>
      </w:r>
      <w:r w:rsidR="003113A7" w:rsidRPr="009B3C1B">
        <w:rPr>
          <w:rFonts w:ascii="Arial" w:hAnsi="Arial" w:cs="Arial"/>
        </w:rPr>
        <w:t xml:space="preserve">163 </w:t>
      </w:r>
      <w:r w:rsidRPr="009B3C1B">
        <w:rPr>
          <w:rFonts w:ascii="Arial" w:hAnsi="Arial" w:cs="Arial"/>
        </w:rPr>
        <w:t>porad</w:t>
      </w:r>
      <w:r w:rsidR="003113A7" w:rsidRPr="009B3C1B">
        <w:rPr>
          <w:rFonts w:ascii="Arial" w:hAnsi="Arial" w:cs="Arial"/>
        </w:rPr>
        <w:t>y</w:t>
      </w:r>
      <w:r w:rsidRPr="009B3C1B">
        <w:rPr>
          <w:rFonts w:ascii="Arial" w:hAnsi="Arial" w:cs="Arial"/>
        </w:rPr>
        <w:t xml:space="preserve"> (</w:t>
      </w:r>
      <w:r w:rsidR="003113A7" w:rsidRPr="009B3C1B">
        <w:rPr>
          <w:rFonts w:ascii="Arial" w:hAnsi="Arial" w:cs="Arial"/>
        </w:rPr>
        <w:t>w roku 2023 – 141;</w:t>
      </w:r>
      <w:r w:rsidRPr="009B3C1B">
        <w:rPr>
          <w:rFonts w:ascii="Arial" w:hAnsi="Arial" w:cs="Arial"/>
        </w:rPr>
        <w:t>w roku 2022 – 146; roku 2021- 202; w roku 2020 – 203; w roku 2019 – 237).</w:t>
      </w:r>
    </w:p>
    <w:p w14:paraId="292E6248" w14:textId="10948942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2023r. przy okazji porad udostępniono w sumie 120 wzorów i gotowych pism, w tym procesowych</w:t>
      </w:r>
      <w:r w:rsidR="003113A7" w:rsidRPr="009B3C1B">
        <w:rPr>
          <w:rFonts w:ascii="Arial" w:hAnsi="Arial" w:cs="Arial"/>
        </w:rPr>
        <w:t>, a w 2024</w:t>
      </w:r>
      <w:r w:rsidR="005452B6" w:rsidRPr="009B3C1B">
        <w:rPr>
          <w:rFonts w:ascii="Arial" w:hAnsi="Arial" w:cs="Arial"/>
        </w:rPr>
        <w:t>R.</w:t>
      </w:r>
      <w:r w:rsidR="003113A7" w:rsidRPr="009B3C1B">
        <w:rPr>
          <w:rFonts w:ascii="Arial" w:hAnsi="Arial" w:cs="Arial"/>
        </w:rPr>
        <w:t xml:space="preserve"> </w:t>
      </w:r>
      <w:r w:rsidR="005452B6" w:rsidRPr="009B3C1B">
        <w:rPr>
          <w:rFonts w:ascii="Arial" w:hAnsi="Arial" w:cs="Arial"/>
        </w:rPr>
        <w:t>116.</w:t>
      </w:r>
    </w:p>
    <w:p w14:paraId="21E0A970" w14:textId="608FA305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Liczba porad i informacji udzielonych pisemnie – głównie drogą elektroniczną wyniosła </w:t>
      </w:r>
      <w:r w:rsidR="003113A7" w:rsidRPr="009B3C1B">
        <w:rPr>
          <w:rFonts w:ascii="Arial" w:hAnsi="Arial" w:cs="Arial"/>
        </w:rPr>
        <w:t>186</w:t>
      </w:r>
      <w:r w:rsidRPr="009B3C1B">
        <w:rPr>
          <w:rFonts w:ascii="Arial" w:hAnsi="Arial" w:cs="Arial"/>
        </w:rPr>
        <w:t xml:space="preserve"> (</w:t>
      </w:r>
      <w:r w:rsidR="003113A7" w:rsidRPr="009B3C1B">
        <w:rPr>
          <w:rFonts w:ascii="Arial" w:hAnsi="Arial" w:cs="Arial"/>
        </w:rPr>
        <w:t xml:space="preserve">2023 – 228; </w:t>
      </w:r>
      <w:r w:rsidRPr="009B3C1B">
        <w:rPr>
          <w:rFonts w:ascii="Arial" w:hAnsi="Arial" w:cs="Arial"/>
        </w:rPr>
        <w:t xml:space="preserve">w 2022 – 272; 2021 – 345; 2020 – 391; 2019 - 201). </w:t>
      </w:r>
    </w:p>
    <w:p w14:paraId="4DB3530E" w14:textId="77777777" w:rsidR="00DC2AEB" w:rsidRPr="009B3C1B" w:rsidRDefault="00DC2AEB" w:rsidP="009B3C1B">
      <w:pPr>
        <w:spacing w:line="240" w:lineRule="auto"/>
        <w:jc w:val="both"/>
        <w:rPr>
          <w:rFonts w:ascii="Arial" w:hAnsi="Arial" w:cs="Arial"/>
        </w:rPr>
      </w:pPr>
    </w:p>
    <w:p w14:paraId="0F44CBB3" w14:textId="0F4FF610" w:rsidR="00AB5FB9" w:rsidRPr="009B3C1B" w:rsidRDefault="00B4664B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II</w:t>
      </w:r>
      <w:r w:rsidR="003113A7" w:rsidRPr="009B3C1B">
        <w:rPr>
          <w:rFonts w:ascii="Arial" w:hAnsi="Arial" w:cs="Arial"/>
          <w:b/>
          <w:bCs/>
        </w:rPr>
        <w:t>.</w:t>
      </w:r>
      <w:r w:rsidRPr="009B3C1B">
        <w:rPr>
          <w:rFonts w:ascii="Arial" w:hAnsi="Arial" w:cs="Arial"/>
          <w:b/>
          <w:bCs/>
        </w:rPr>
        <w:t xml:space="preserve"> </w:t>
      </w:r>
      <w:r w:rsidR="00AB5FB9" w:rsidRPr="009B3C1B">
        <w:rPr>
          <w:rFonts w:ascii="Arial" w:hAnsi="Arial" w:cs="Arial"/>
          <w:b/>
          <w:bCs/>
        </w:rPr>
        <w:t>Występowanie do przedsiębiorców w sprawach ochrony praw i interesów konsumentów.</w:t>
      </w:r>
    </w:p>
    <w:p w14:paraId="5D4755B0" w14:textId="588181B2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2023r. do rzecznika wpłynęło 325 </w:t>
      </w:r>
      <w:r w:rsidR="003113A7" w:rsidRPr="009B3C1B">
        <w:rPr>
          <w:rFonts w:ascii="Arial" w:hAnsi="Arial" w:cs="Arial"/>
        </w:rPr>
        <w:t>wniosków</w:t>
      </w:r>
      <w:r w:rsidRPr="009B3C1B">
        <w:rPr>
          <w:rFonts w:ascii="Arial" w:hAnsi="Arial" w:cs="Arial"/>
        </w:rPr>
        <w:t>, z czego w 30</w:t>
      </w:r>
      <w:r w:rsidR="006E5AF4" w:rsidRPr="009B3C1B">
        <w:rPr>
          <w:rFonts w:ascii="Arial" w:hAnsi="Arial" w:cs="Arial"/>
        </w:rPr>
        <w:t>5</w:t>
      </w:r>
      <w:r w:rsidRPr="009B3C1B">
        <w:rPr>
          <w:rFonts w:ascii="Arial" w:hAnsi="Arial" w:cs="Arial"/>
        </w:rPr>
        <w:t xml:space="preserve"> sprawach Rzecznik wystąpił do przedsiębiorc</w:t>
      </w:r>
      <w:r w:rsidR="00946C85" w:rsidRPr="009B3C1B">
        <w:rPr>
          <w:rFonts w:ascii="Arial" w:hAnsi="Arial" w:cs="Arial"/>
        </w:rPr>
        <w:t>ów</w:t>
      </w:r>
      <w:r w:rsidRPr="009B3C1B">
        <w:rPr>
          <w:rFonts w:ascii="Arial" w:hAnsi="Arial" w:cs="Arial"/>
        </w:rPr>
        <w:t>, (w tym 12 interwencji podjętych zostało telefonicznie lub elektronicznie).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sumie w 22 przypadkach łącznie sprawę przekazano do rozpatrzenia wg właściwości (8), wycofano (12), nastąpiła odmowa wystąpienia (1), a także nie podjęto wystąpienia z powodu nieusunięcia braków wniosku (1). </w:t>
      </w:r>
    </w:p>
    <w:p w14:paraId="65257A1E" w14:textId="6C172573" w:rsidR="00D13374" w:rsidRPr="009B3C1B" w:rsidRDefault="00D13374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roku 2024r. do rzecznika wpłynęło 3</w:t>
      </w:r>
      <w:r w:rsidR="003113A7" w:rsidRPr="009B3C1B">
        <w:rPr>
          <w:rFonts w:ascii="Arial" w:hAnsi="Arial" w:cs="Arial"/>
        </w:rPr>
        <w:t>4</w:t>
      </w:r>
      <w:r w:rsidR="005452B6" w:rsidRPr="009B3C1B">
        <w:rPr>
          <w:rFonts w:ascii="Arial" w:hAnsi="Arial" w:cs="Arial"/>
        </w:rPr>
        <w:t>1</w:t>
      </w:r>
      <w:r w:rsidR="003113A7" w:rsidRPr="009B3C1B">
        <w:rPr>
          <w:rFonts w:ascii="Arial" w:hAnsi="Arial" w:cs="Arial"/>
        </w:rPr>
        <w:t xml:space="preserve"> wniosków</w:t>
      </w:r>
      <w:r w:rsidRPr="009B3C1B">
        <w:rPr>
          <w:rFonts w:ascii="Arial" w:hAnsi="Arial" w:cs="Arial"/>
        </w:rPr>
        <w:t xml:space="preserve">, z czego w </w:t>
      </w:r>
      <w:r w:rsidR="007F3183" w:rsidRPr="009B3C1B">
        <w:rPr>
          <w:rFonts w:ascii="Arial" w:hAnsi="Arial" w:cs="Arial"/>
        </w:rPr>
        <w:t>3</w:t>
      </w:r>
      <w:r w:rsidR="003113A7" w:rsidRPr="009B3C1B">
        <w:rPr>
          <w:rFonts w:ascii="Arial" w:hAnsi="Arial" w:cs="Arial"/>
        </w:rPr>
        <w:t>2</w:t>
      </w:r>
      <w:r w:rsidR="003B7B4C" w:rsidRPr="009B3C1B">
        <w:rPr>
          <w:rFonts w:ascii="Arial" w:hAnsi="Arial" w:cs="Arial"/>
        </w:rPr>
        <w:t>5</w:t>
      </w:r>
      <w:r w:rsidRPr="009B3C1B">
        <w:rPr>
          <w:rFonts w:ascii="Arial" w:hAnsi="Arial" w:cs="Arial"/>
        </w:rPr>
        <w:t xml:space="preserve"> sprawach Rzecznik wystąpił</w:t>
      </w:r>
      <w:r w:rsidR="003113A7" w:rsidRPr="009B3C1B">
        <w:rPr>
          <w:rFonts w:ascii="Arial" w:hAnsi="Arial" w:cs="Arial"/>
        </w:rPr>
        <w:t>/i</w:t>
      </w:r>
      <w:r w:rsidRPr="009B3C1B">
        <w:rPr>
          <w:rFonts w:ascii="Arial" w:hAnsi="Arial" w:cs="Arial"/>
        </w:rPr>
        <w:t xml:space="preserve"> do </w:t>
      </w:r>
      <w:r w:rsidR="003B7B4C" w:rsidRPr="009B3C1B">
        <w:rPr>
          <w:rFonts w:ascii="Arial" w:hAnsi="Arial" w:cs="Arial"/>
        </w:rPr>
        <w:t xml:space="preserve">343 </w:t>
      </w:r>
      <w:r w:rsidRPr="009B3C1B">
        <w:rPr>
          <w:rFonts w:ascii="Arial" w:hAnsi="Arial" w:cs="Arial"/>
        </w:rPr>
        <w:t>przedsiębiorc</w:t>
      </w:r>
      <w:r w:rsidR="003113A7" w:rsidRPr="009B3C1B">
        <w:rPr>
          <w:rFonts w:ascii="Arial" w:hAnsi="Arial" w:cs="Arial"/>
        </w:rPr>
        <w:t>ów</w:t>
      </w:r>
      <w:r w:rsidRPr="009B3C1B">
        <w:rPr>
          <w:rFonts w:ascii="Arial" w:hAnsi="Arial" w:cs="Arial"/>
        </w:rPr>
        <w:t xml:space="preserve">, (w tym </w:t>
      </w:r>
      <w:r w:rsidR="005452B6" w:rsidRPr="009B3C1B">
        <w:rPr>
          <w:rFonts w:ascii="Arial" w:hAnsi="Arial" w:cs="Arial"/>
        </w:rPr>
        <w:t>15</w:t>
      </w:r>
      <w:r w:rsidRPr="009B3C1B">
        <w:rPr>
          <w:rFonts w:ascii="Arial" w:hAnsi="Arial" w:cs="Arial"/>
        </w:rPr>
        <w:t xml:space="preserve"> interwencji podjętych zostało telefonicznie lub elektronicznie). W sumie w </w:t>
      </w:r>
      <w:r w:rsidR="007F3183" w:rsidRPr="009B3C1B">
        <w:rPr>
          <w:rFonts w:ascii="Arial" w:hAnsi="Arial" w:cs="Arial"/>
        </w:rPr>
        <w:t>1</w:t>
      </w:r>
      <w:r w:rsidRPr="009B3C1B">
        <w:rPr>
          <w:rFonts w:ascii="Arial" w:hAnsi="Arial" w:cs="Arial"/>
        </w:rPr>
        <w:t xml:space="preserve">2 przypadkach łącznie </w:t>
      </w:r>
      <w:r w:rsidR="003B7B4C" w:rsidRPr="009B3C1B">
        <w:rPr>
          <w:rFonts w:ascii="Arial" w:hAnsi="Arial" w:cs="Arial"/>
        </w:rPr>
        <w:t>udzielono wyjaśnień konsumentom</w:t>
      </w:r>
      <w:r w:rsidRPr="009B3C1B">
        <w:rPr>
          <w:rFonts w:ascii="Arial" w:hAnsi="Arial" w:cs="Arial"/>
        </w:rPr>
        <w:t xml:space="preserve"> (</w:t>
      </w:r>
      <w:r w:rsidR="007F3183" w:rsidRPr="009B3C1B">
        <w:rPr>
          <w:rFonts w:ascii="Arial" w:hAnsi="Arial" w:cs="Arial"/>
        </w:rPr>
        <w:t>3</w:t>
      </w:r>
      <w:r w:rsidRPr="009B3C1B">
        <w:rPr>
          <w:rFonts w:ascii="Arial" w:hAnsi="Arial" w:cs="Arial"/>
        </w:rPr>
        <w:t>), wycofano (</w:t>
      </w:r>
      <w:r w:rsidR="003B7B4C" w:rsidRPr="009B3C1B">
        <w:rPr>
          <w:rFonts w:ascii="Arial" w:hAnsi="Arial" w:cs="Arial"/>
        </w:rPr>
        <w:t>6</w:t>
      </w:r>
      <w:r w:rsidRPr="009B3C1B">
        <w:rPr>
          <w:rFonts w:ascii="Arial" w:hAnsi="Arial" w:cs="Arial"/>
        </w:rPr>
        <w:t>), nastąpiła odmowa wystąpienia (</w:t>
      </w:r>
      <w:r w:rsidR="007F3183" w:rsidRPr="009B3C1B">
        <w:rPr>
          <w:rFonts w:ascii="Arial" w:hAnsi="Arial" w:cs="Arial"/>
        </w:rPr>
        <w:t>3</w:t>
      </w:r>
      <w:r w:rsidRPr="009B3C1B">
        <w:rPr>
          <w:rFonts w:ascii="Arial" w:hAnsi="Arial" w:cs="Arial"/>
        </w:rPr>
        <w:t>), a także nie podjęto wystąpienia z powodu nieusunięcia braków wniosku (</w:t>
      </w:r>
      <w:r w:rsidR="007F3183" w:rsidRPr="009B3C1B">
        <w:rPr>
          <w:rFonts w:ascii="Arial" w:hAnsi="Arial" w:cs="Arial"/>
        </w:rPr>
        <w:t>5</w:t>
      </w:r>
      <w:r w:rsidRPr="009B3C1B">
        <w:rPr>
          <w:rFonts w:ascii="Arial" w:hAnsi="Arial" w:cs="Arial"/>
        </w:rPr>
        <w:t>).</w:t>
      </w:r>
    </w:p>
    <w:p w14:paraId="1CC2B48B" w14:textId="6CED122E" w:rsidR="00AB5FB9" w:rsidRPr="009B3C1B" w:rsidRDefault="00AB5FB9" w:rsidP="009B3C1B">
      <w:pPr>
        <w:spacing w:line="240" w:lineRule="auto"/>
        <w:jc w:val="both"/>
        <w:rPr>
          <w:rFonts w:ascii="Arial" w:hAnsi="Arial" w:cs="Arial"/>
          <w:color w:val="FF0000"/>
        </w:rPr>
      </w:pPr>
      <w:r w:rsidRPr="009B3C1B">
        <w:rPr>
          <w:rFonts w:ascii="Arial" w:hAnsi="Arial" w:cs="Arial"/>
        </w:rPr>
        <w:t xml:space="preserve">Zdarza się, że w ramach jednej sprawy podejmowane są wystąpienia do więcej niż jednego przedsiębiorcy. Zdarzają się także przypadki, że z uwagi na niekompletność materiału dostarczonego przez konsumenta lub okoliczności sprawy konieczne jest wystąpienie </w:t>
      </w:r>
      <w:r w:rsidR="007F3183" w:rsidRPr="009B3C1B">
        <w:rPr>
          <w:rFonts w:ascii="Arial" w:hAnsi="Arial" w:cs="Arial"/>
        </w:rPr>
        <w:t xml:space="preserve">do więcej niż jednego przedsiębiorcy np. </w:t>
      </w:r>
      <w:r w:rsidRPr="009B3C1B">
        <w:rPr>
          <w:rFonts w:ascii="Arial" w:hAnsi="Arial" w:cs="Arial"/>
        </w:rPr>
        <w:t xml:space="preserve">zarówno do sprzedawcy jak i gwaranta. Średni czas wystąpienia od daty złożenia wniosku </w:t>
      </w:r>
      <w:r w:rsidR="00D13374" w:rsidRPr="009B3C1B">
        <w:rPr>
          <w:rFonts w:ascii="Arial" w:hAnsi="Arial" w:cs="Arial"/>
        </w:rPr>
        <w:t xml:space="preserve">w 2023 roku </w:t>
      </w:r>
      <w:r w:rsidRPr="009B3C1B">
        <w:rPr>
          <w:rFonts w:ascii="Arial" w:hAnsi="Arial" w:cs="Arial"/>
        </w:rPr>
        <w:t>wyniósł 10,5 dnia</w:t>
      </w:r>
      <w:r w:rsidR="00D13374" w:rsidRPr="009B3C1B">
        <w:rPr>
          <w:rFonts w:ascii="Arial" w:hAnsi="Arial" w:cs="Arial"/>
        </w:rPr>
        <w:t xml:space="preserve">; a w roku 2024 </w:t>
      </w:r>
      <w:r w:rsidR="00624D13" w:rsidRPr="009B3C1B">
        <w:rPr>
          <w:rFonts w:ascii="Arial" w:hAnsi="Arial" w:cs="Arial"/>
        </w:rPr>
        <w:t>12 dni.</w:t>
      </w:r>
    </w:p>
    <w:p w14:paraId="74950AEA" w14:textId="61DAA99E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 xml:space="preserve">W zależności od głównego problemu najwięcej </w:t>
      </w:r>
      <w:r w:rsidR="00B2692E" w:rsidRPr="009B3C1B">
        <w:rPr>
          <w:rFonts w:ascii="Arial" w:hAnsi="Arial" w:cs="Arial"/>
          <w:b/>
          <w:bCs/>
        </w:rPr>
        <w:t xml:space="preserve">w latach 2023/2024 </w:t>
      </w:r>
      <w:r w:rsidRPr="009B3C1B">
        <w:rPr>
          <w:rFonts w:ascii="Arial" w:hAnsi="Arial" w:cs="Arial"/>
          <w:b/>
          <w:bCs/>
        </w:rPr>
        <w:t>wystąpień dotyczyło:</w:t>
      </w:r>
    </w:p>
    <w:p w14:paraId="14D0ABB8" w14:textId="261BE0E4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A. wadliwości towarów i nienależytego wykonania umów</w:t>
      </w:r>
      <w:r w:rsidRPr="009B3C1B">
        <w:rPr>
          <w:rFonts w:ascii="Arial" w:hAnsi="Arial" w:cs="Arial"/>
        </w:rPr>
        <w:t xml:space="preserve"> – 207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220</w:t>
      </w:r>
      <w:r w:rsidR="00B2692E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 xml:space="preserve"> wystąpień, z czego najwięcej – 149</w:t>
      </w:r>
      <w:r w:rsidR="007F3183" w:rsidRPr="009B3C1B">
        <w:rPr>
          <w:rFonts w:ascii="Arial" w:hAnsi="Arial" w:cs="Arial"/>
        </w:rPr>
        <w:t>/163</w:t>
      </w:r>
      <w:r w:rsidRPr="009B3C1B">
        <w:rPr>
          <w:rFonts w:ascii="Arial" w:hAnsi="Arial" w:cs="Arial"/>
        </w:rPr>
        <w:t xml:space="preserve"> w zakresie umów zawartych w tradycyjnej formie tj. w lokalu sprzedawcy, 50</w:t>
      </w:r>
      <w:r w:rsidR="007F3183" w:rsidRPr="009B3C1B">
        <w:rPr>
          <w:rFonts w:ascii="Arial" w:hAnsi="Arial" w:cs="Arial"/>
        </w:rPr>
        <w:t>/51</w:t>
      </w:r>
      <w:r w:rsidRPr="009B3C1B">
        <w:rPr>
          <w:rFonts w:ascii="Arial" w:hAnsi="Arial" w:cs="Arial"/>
        </w:rPr>
        <w:t xml:space="preserve"> na odległość, 8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6</w:t>
      </w:r>
      <w:r w:rsidRPr="009B3C1B">
        <w:rPr>
          <w:rFonts w:ascii="Arial" w:hAnsi="Arial" w:cs="Arial"/>
        </w:rPr>
        <w:t xml:space="preserve"> poza lokalem przedsiębiorstwa.</w:t>
      </w:r>
    </w:p>
    <w:p w14:paraId="24587D4C" w14:textId="3050B1C5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B. rozwiązania umowy</w:t>
      </w:r>
      <w:r w:rsidRPr="009B3C1B">
        <w:rPr>
          <w:rFonts w:ascii="Arial" w:hAnsi="Arial" w:cs="Arial"/>
        </w:rPr>
        <w:t xml:space="preserve"> – 45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37</w:t>
      </w:r>
      <w:r w:rsidRPr="009B3C1B">
        <w:rPr>
          <w:rFonts w:ascii="Arial" w:hAnsi="Arial" w:cs="Arial"/>
        </w:rPr>
        <w:t>, z czego 29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30</w:t>
      </w:r>
      <w:r w:rsidRPr="009B3C1B">
        <w:rPr>
          <w:rFonts w:ascii="Arial" w:hAnsi="Arial" w:cs="Arial"/>
        </w:rPr>
        <w:t xml:space="preserve"> wystąpień w zakresie umów zawartych na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odległość, a 8</w:t>
      </w:r>
      <w:r w:rsidR="00B2692E" w:rsidRPr="009B3C1B">
        <w:rPr>
          <w:rFonts w:ascii="Arial" w:hAnsi="Arial" w:cs="Arial"/>
        </w:rPr>
        <w:t>/</w:t>
      </w:r>
      <w:r w:rsidR="008E4B43" w:rsidRPr="009B3C1B">
        <w:rPr>
          <w:rFonts w:ascii="Arial" w:hAnsi="Arial" w:cs="Arial"/>
        </w:rPr>
        <w:t>3</w:t>
      </w:r>
      <w:r w:rsidRPr="009B3C1B">
        <w:rPr>
          <w:rFonts w:ascii="Arial" w:hAnsi="Arial" w:cs="Arial"/>
        </w:rPr>
        <w:t xml:space="preserve"> w odniesieniu do umów zawartych w lokalu sprzedawcy lub bez znaczenia dla zawartej umowy oraz 8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4</w:t>
      </w:r>
      <w:r w:rsidRPr="009B3C1B">
        <w:rPr>
          <w:rFonts w:ascii="Arial" w:hAnsi="Arial" w:cs="Arial"/>
        </w:rPr>
        <w:t xml:space="preserve"> wystąpień w zakresie umów zawartych poza lokalem przedsiębiorstwa.</w:t>
      </w:r>
    </w:p>
    <w:p w14:paraId="71CBA313" w14:textId="59487968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C. warunków umów w tym niedozwolonych postanowień</w:t>
      </w:r>
      <w:r w:rsidRPr="009B3C1B">
        <w:rPr>
          <w:rFonts w:ascii="Arial" w:hAnsi="Arial" w:cs="Arial"/>
        </w:rPr>
        <w:t xml:space="preserve"> – 15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18</w:t>
      </w:r>
      <w:r w:rsidRPr="009B3C1B">
        <w:rPr>
          <w:rFonts w:ascii="Arial" w:hAnsi="Arial" w:cs="Arial"/>
        </w:rPr>
        <w:t>, z czego 11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12</w:t>
      </w:r>
      <w:r w:rsidRPr="009B3C1B">
        <w:rPr>
          <w:rFonts w:ascii="Arial" w:hAnsi="Arial" w:cs="Arial"/>
        </w:rPr>
        <w:t>dotyczyło umów w lokalu i 4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6</w:t>
      </w:r>
      <w:r w:rsidRPr="009B3C1B">
        <w:rPr>
          <w:rFonts w:ascii="Arial" w:hAnsi="Arial" w:cs="Arial"/>
        </w:rPr>
        <w:t xml:space="preserve"> na odległość.</w:t>
      </w:r>
    </w:p>
    <w:p w14:paraId="2C3C0145" w14:textId="26F31B68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D. nieuczciwych praktyk rynkow</w:t>
      </w:r>
      <w:r w:rsidRPr="009B3C1B">
        <w:rPr>
          <w:rFonts w:ascii="Arial" w:hAnsi="Arial" w:cs="Arial"/>
        </w:rPr>
        <w:t>ych – 9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19</w:t>
      </w:r>
      <w:r w:rsidR="00B2692E" w:rsidRPr="009B3C1B">
        <w:rPr>
          <w:rFonts w:ascii="Arial" w:hAnsi="Arial" w:cs="Arial"/>
        </w:rPr>
        <w:t>,</w:t>
      </w:r>
      <w:r w:rsidRPr="009B3C1B">
        <w:rPr>
          <w:rFonts w:ascii="Arial" w:hAnsi="Arial" w:cs="Arial"/>
        </w:rPr>
        <w:t xml:space="preserve"> z czego 7</w:t>
      </w:r>
      <w:r w:rsidR="007F3183" w:rsidRPr="009B3C1B">
        <w:rPr>
          <w:rFonts w:ascii="Arial" w:hAnsi="Arial" w:cs="Arial"/>
        </w:rPr>
        <w:t>/13</w:t>
      </w:r>
      <w:r w:rsidRPr="009B3C1B">
        <w:rPr>
          <w:rFonts w:ascii="Arial" w:hAnsi="Arial" w:cs="Arial"/>
        </w:rPr>
        <w:t xml:space="preserve"> wystąpień dotyczyło umów zawartych w lokalu przedsiębiorstwa, a 2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6</w:t>
      </w:r>
      <w:r w:rsidRPr="009B3C1B">
        <w:rPr>
          <w:rFonts w:ascii="Arial" w:hAnsi="Arial" w:cs="Arial"/>
        </w:rPr>
        <w:t xml:space="preserve"> na odległość.</w:t>
      </w:r>
    </w:p>
    <w:p w14:paraId="1509872A" w14:textId="48737B51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E. innych</w:t>
      </w:r>
      <w:r w:rsidRPr="009B3C1B">
        <w:rPr>
          <w:rFonts w:ascii="Arial" w:hAnsi="Arial" w:cs="Arial"/>
        </w:rPr>
        <w:t xml:space="preserve"> – 12</w:t>
      </w:r>
      <w:r w:rsidR="00B2692E" w:rsidRPr="009B3C1B">
        <w:rPr>
          <w:rFonts w:ascii="Arial" w:hAnsi="Arial" w:cs="Arial"/>
        </w:rPr>
        <w:t>/</w:t>
      </w:r>
      <w:r w:rsidR="007F3183" w:rsidRPr="009B3C1B">
        <w:rPr>
          <w:rFonts w:ascii="Arial" w:hAnsi="Arial" w:cs="Arial"/>
        </w:rPr>
        <w:t>18</w:t>
      </w:r>
      <w:r w:rsidRPr="009B3C1B">
        <w:rPr>
          <w:rFonts w:ascii="Arial" w:hAnsi="Arial" w:cs="Arial"/>
        </w:rPr>
        <w:t xml:space="preserve"> z czego </w:t>
      </w:r>
      <w:r w:rsidR="007F3183" w:rsidRPr="009B3C1B">
        <w:rPr>
          <w:rFonts w:ascii="Arial" w:hAnsi="Arial" w:cs="Arial"/>
        </w:rPr>
        <w:t>11</w:t>
      </w:r>
      <w:r w:rsidRPr="009B3C1B">
        <w:rPr>
          <w:rFonts w:ascii="Arial" w:hAnsi="Arial" w:cs="Arial"/>
        </w:rPr>
        <w:t xml:space="preserve"> wystąpie</w:t>
      </w:r>
      <w:r w:rsidR="007F3183" w:rsidRPr="009B3C1B">
        <w:rPr>
          <w:rFonts w:ascii="Arial" w:hAnsi="Arial" w:cs="Arial"/>
        </w:rPr>
        <w:t xml:space="preserve">ń </w:t>
      </w:r>
      <w:r w:rsidRPr="009B3C1B">
        <w:rPr>
          <w:rFonts w:ascii="Arial" w:hAnsi="Arial" w:cs="Arial"/>
        </w:rPr>
        <w:t xml:space="preserve">dotyczyły umów zawartych </w:t>
      </w:r>
      <w:r w:rsidR="007F3183" w:rsidRPr="009B3C1B">
        <w:rPr>
          <w:rFonts w:ascii="Arial" w:hAnsi="Arial" w:cs="Arial"/>
        </w:rPr>
        <w:t xml:space="preserve">w lokalu, a 7 </w:t>
      </w:r>
      <w:r w:rsidRPr="009B3C1B">
        <w:rPr>
          <w:rFonts w:ascii="Arial" w:hAnsi="Arial" w:cs="Arial"/>
        </w:rPr>
        <w:t>na odległość.</w:t>
      </w:r>
    </w:p>
    <w:p w14:paraId="29931A98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</w:p>
    <w:p w14:paraId="60F46C70" w14:textId="501F5771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lastRenderedPageBreak/>
        <w:t xml:space="preserve">W zakresie  warunków umów </w:t>
      </w:r>
      <w:r w:rsidR="00B2692E" w:rsidRPr="009B3C1B">
        <w:rPr>
          <w:rFonts w:ascii="Arial" w:hAnsi="Arial" w:cs="Arial"/>
        </w:rPr>
        <w:t xml:space="preserve">w roku 2023 </w:t>
      </w:r>
      <w:r w:rsidRPr="009B3C1B">
        <w:rPr>
          <w:rFonts w:ascii="Arial" w:hAnsi="Arial" w:cs="Arial"/>
        </w:rPr>
        <w:t>najwięcej wystąpień dotyczyło umów zawartych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lokalu przedsiębiorstwa</w:t>
      </w:r>
      <w:r w:rsidR="007F3183" w:rsidRPr="009B3C1B">
        <w:rPr>
          <w:rFonts w:ascii="Arial" w:hAnsi="Arial" w:cs="Arial"/>
        </w:rPr>
        <w:t xml:space="preserve"> i podobnie w roku 2024. </w:t>
      </w:r>
      <w:r w:rsidRPr="009B3C1B">
        <w:rPr>
          <w:rFonts w:ascii="Arial" w:hAnsi="Arial" w:cs="Arial"/>
        </w:rPr>
        <w:t xml:space="preserve"> Natomiast w zakresie rozwiązania umów przeważające były wystąpienia dotyczące tych zawartych na odległość (</w:t>
      </w:r>
      <w:r w:rsidR="007F3183" w:rsidRPr="009B3C1B">
        <w:rPr>
          <w:rFonts w:ascii="Arial" w:hAnsi="Arial" w:cs="Arial"/>
        </w:rPr>
        <w:t>2023</w:t>
      </w:r>
      <w:r w:rsidR="009627DF" w:rsidRPr="009B3C1B">
        <w:rPr>
          <w:rFonts w:ascii="Arial" w:hAnsi="Arial" w:cs="Arial"/>
        </w:rPr>
        <w:t xml:space="preserve"> -</w:t>
      </w:r>
      <w:r w:rsidRPr="009B3C1B">
        <w:rPr>
          <w:rFonts w:ascii="Arial" w:hAnsi="Arial" w:cs="Arial"/>
        </w:rPr>
        <w:t>29</w:t>
      </w:r>
      <w:r w:rsidR="009627DF" w:rsidRPr="009B3C1B">
        <w:rPr>
          <w:rFonts w:ascii="Arial" w:hAnsi="Arial" w:cs="Arial"/>
        </w:rPr>
        <w:t>; 2024 - 30</w:t>
      </w:r>
      <w:r w:rsidRPr="009B3C1B">
        <w:rPr>
          <w:rFonts w:ascii="Arial" w:hAnsi="Arial" w:cs="Arial"/>
        </w:rPr>
        <w:t xml:space="preserve">), a umów poza lokalem przedsiębiorstwa i </w:t>
      </w:r>
      <w:r w:rsidR="009627DF" w:rsidRPr="009B3C1B">
        <w:rPr>
          <w:rFonts w:ascii="Arial" w:hAnsi="Arial" w:cs="Arial"/>
        </w:rPr>
        <w:t>w lokalu</w:t>
      </w:r>
      <w:r w:rsidRPr="009B3C1B">
        <w:rPr>
          <w:rFonts w:ascii="Arial" w:hAnsi="Arial" w:cs="Arial"/>
        </w:rPr>
        <w:t xml:space="preserve"> </w:t>
      </w:r>
      <w:r w:rsidR="009627DF" w:rsidRPr="009B3C1B">
        <w:rPr>
          <w:rFonts w:ascii="Arial" w:hAnsi="Arial" w:cs="Arial"/>
        </w:rPr>
        <w:t>– 6 i 4</w:t>
      </w:r>
      <w:r w:rsidRPr="009B3C1B">
        <w:rPr>
          <w:rFonts w:ascii="Arial" w:hAnsi="Arial" w:cs="Arial"/>
        </w:rPr>
        <w:t>.</w:t>
      </w:r>
    </w:p>
    <w:p w14:paraId="1BF0F755" w14:textId="08504B5D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A. W</w:t>
      </w:r>
      <w:r w:rsidR="00E25731" w:rsidRPr="009B3C1B">
        <w:rPr>
          <w:rFonts w:ascii="Arial" w:hAnsi="Arial" w:cs="Arial"/>
          <w:b/>
          <w:bCs/>
        </w:rPr>
        <w:t xml:space="preserve">ystąpienia w zakresie sprzedaży </w:t>
      </w:r>
    </w:p>
    <w:p w14:paraId="064D27E9" w14:textId="4D378AE4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 xml:space="preserve"> Ilość wystąpień w 2023r.w zależności od sektora/branży (poniżej 5 najpopularniejszych sektorów):</w:t>
      </w:r>
    </w:p>
    <w:p w14:paraId="5900D9AE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 odzież i obuwie</w:t>
      </w:r>
      <w:r w:rsidRPr="009B3C1B">
        <w:rPr>
          <w:rFonts w:ascii="Arial" w:hAnsi="Arial" w:cs="Arial"/>
        </w:rPr>
        <w:t xml:space="preserve"> – 90 (rok 2022 – 79; rok 2021 – 68; rok 2020 – 68; rok 2019 – 139, rok 2018 - 173, rok 2017 – 185, rok 2016 – 247, rok 2015 – 241, rok 2014 – 298). W latach 2014 - 2019 ilość wystąpień w sprawie obuwia i odzieży sukcesywnie spadała i w latach 2020-2023 pozostaje na podobnym. </w:t>
      </w:r>
    </w:p>
    <w:p w14:paraId="10ABBF5B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 urządzenia gospodarstwa domowego, urządzenia elektroniczne i sprzęt komputerowy</w:t>
      </w:r>
      <w:r w:rsidRPr="009B3C1B">
        <w:rPr>
          <w:rFonts w:ascii="Arial" w:hAnsi="Arial" w:cs="Arial"/>
        </w:rPr>
        <w:t xml:space="preserve"> – 50 wystąpień (rok 2022 – 49; rok 2021 – 47; rok 2020 – 60; rok 2019 – 60).</w:t>
      </w:r>
    </w:p>
    <w:p w14:paraId="27D8C30D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 meble i artykuły wyposażenia wnętrz</w:t>
      </w:r>
      <w:r w:rsidRPr="009B3C1B">
        <w:rPr>
          <w:rFonts w:ascii="Arial" w:hAnsi="Arial" w:cs="Arial"/>
        </w:rPr>
        <w:t xml:space="preserve"> – 33 wystąpienia (rok 2022 – 25; rok 2021 -24; rok 2020 – 22; rok 2019 – 25, rok 2018 – 13); podobna ilość do lat poprzednich.</w:t>
      </w:r>
    </w:p>
    <w:p w14:paraId="23F4349C" w14:textId="7B439A52" w:rsidR="00B2692E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5. samochody i środki transportu osobistego</w:t>
      </w:r>
      <w:r w:rsidRPr="009B3C1B">
        <w:rPr>
          <w:rFonts w:ascii="Arial" w:hAnsi="Arial" w:cs="Arial"/>
        </w:rPr>
        <w:t xml:space="preserve"> – 9 wystąpień (rok 2022 – 5; rok 2021 – 8; rok</w:t>
      </w:r>
      <w:r w:rsidR="00946C85"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</w:rPr>
        <w:t>2020 – 7; rok 2019 – 14).</w:t>
      </w:r>
    </w:p>
    <w:p w14:paraId="6F1DE68D" w14:textId="66D83CC5" w:rsidR="00AB5FB9" w:rsidRPr="009B3C1B" w:rsidRDefault="00B2692E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Ilość wystąpień w 2024r.</w:t>
      </w:r>
      <w:r w:rsidR="009627DF" w:rsidRPr="009B3C1B">
        <w:rPr>
          <w:rFonts w:ascii="Arial" w:hAnsi="Arial" w:cs="Arial"/>
          <w:b/>
          <w:bCs/>
        </w:rPr>
        <w:t xml:space="preserve"> </w:t>
      </w:r>
      <w:r w:rsidRPr="009B3C1B">
        <w:rPr>
          <w:rFonts w:ascii="Arial" w:hAnsi="Arial" w:cs="Arial"/>
          <w:b/>
          <w:bCs/>
        </w:rPr>
        <w:t>w zależności od sektora/branży (poniżej 5 najpopularniejszych sektorów):</w:t>
      </w:r>
    </w:p>
    <w:p w14:paraId="3C939AE4" w14:textId="6E72E0E5" w:rsidR="00B2692E" w:rsidRPr="009B3C1B" w:rsidRDefault="009627DF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 odzież i obuwie</w:t>
      </w:r>
      <w:r w:rsidRPr="009B3C1B">
        <w:rPr>
          <w:rFonts w:ascii="Arial" w:hAnsi="Arial" w:cs="Arial"/>
        </w:rPr>
        <w:t xml:space="preserve"> – 81 (rok 2023 – 90; rok 2022 – 79; rok 2021 – 68; rok 2020 – 68; rok 2019 – 139, rok 2018 - 173, rok 2017 – 185, rok 2016 – 247, rok 2015 – 241, rok 2014 – 298).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latach 2014 - 2019 ilość wystąpień w sprawie obuwia i odzieży sukcesywnie spadała i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latach 2020-2024 pozostaje na podobnym</w:t>
      </w:r>
      <w:r w:rsidR="008D2217" w:rsidRPr="009B3C1B">
        <w:rPr>
          <w:rFonts w:ascii="Arial" w:hAnsi="Arial" w:cs="Arial"/>
        </w:rPr>
        <w:t xml:space="preserve"> poziomie</w:t>
      </w:r>
      <w:r w:rsidRPr="009B3C1B">
        <w:rPr>
          <w:rFonts w:ascii="Arial" w:hAnsi="Arial" w:cs="Arial"/>
        </w:rPr>
        <w:t>.</w:t>
      </w:r>
    </w:p>
    <w:p w14:paraId="0A7D3CA0" w14:textId="1CB38BA6" w:rsidR="00B2692E" w:rsidRPr="009B3C1B" w:rsidRDefault="00B2692E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</w:t>
      </w:r>
      <w:r w:rsidR="009627DF" w:rsidRPr="009B3C1B">
        <w:rPr>
          <w:rFonts w:ascii="Arial" w:hAnsi="Arial" w:cs="Arial"/>
          <w:b/>
          <w:bCs/>
        </w:rPr>
        <w:t xml:space="preserve"> urządzenia gospodarstwa domowego, urządzenia elektroniczne i sprzęt komputerowy </w:t>
      </w:r>
      <w:r w:rsidR="009627DF" w:rsidRPr="009B3C1B">
        <w:rPr>
          <w:rFonts w:ascii="Arial" w:hAnsi="Arial" w:cs="Arial"/>
        </w:rPr>
        <w:t xml:space="preserve">– </w:t>
      </w:r>
      <w:r w:rsidR="00893C1A" w:rsidRPr="009B3C1B">
        <w:rPr>
          <w:rFonts w:ascii="Arial" w:hAnsi="Arial" w:cs="Arial"/>
        </w:rPr>
        <w:t>45</w:t>
      </w:r>
      <w:r w:rsidR="009627DF" w:rsidRPr="009B3C1B">
        <w:rPr>
          <w:rFonts w:ascii="Arial" w:hAnsi="Arial" w:cs="Arial"/>
        </w:rPr>
        <w:t xml:space="preserve"> wystąpień  (rok 2023- 50;rok 2022 – 49; rok 2021 – 47; rok 2020 – 60; rok 2019 – 60).</w:t>
      </w:r>
    </w:p>
    <w:p w14:paraId="47CCD1E5" w14:textId="2654DEED" w:rsidR="00B2692E" w:rsidRPr="009B3C1B" w:rsidRDefault="00B2692E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</w:t>
      </w:r>
      <w:r w:rsidR="009627DF" w:rsidRPr="009B3C1B">
        <w:rPr>
          <w:rFonts w:ascii="Arial" w:hAnsi="Arial" w:cs="Arial"/>
          <w:b/>
          <w:bCs/>
        </w:rPr>
        <w:t xml:space="preserve"> meble i artykuły wyposażenia wnętrz</w:t>
      </w:r>
      <w:r w:rsidR="009627DF" w:rsidRPr="009B3C1B">
        <w:rPr>
          <w:rFonts w:ascii="Arial" w:hAnsi="Arial" w:cs="Arial"/>
        </w:rPr>
        <w:t xml:space="preserve"> – 22 wystąpienia (rok 2023 – 33; rok 2022 – 25; rok 2021 -24; rok 2020 – 22; rok 2019 – 25, rok 2018 – 13); podobna ilość do lat poprzednich z</w:t>
      </w:r>
      <w:r w:rsidR="002A26B3" w:rsidRPr="009B3C1B">
        <w:rPr>
          <w:rFonts w:ascii="Arial" w:hAnsi="Arial" w:cs="Arial"/>
        </w:rPr>
        <w:t> </w:t>
      </w:r>
      <w:r w:rsidR="009627DF" w:rsidRPr="009B3C1B">
        <w:rPr>
          <w:rFonts w:ascii="Arial" w:hAnsi="Arial" w:cs="Arial"/>
        </w:rPr>
        <w:t>spadkiem w stos. Do roku 2023.</w:t>
      </w:r>
    </w:p>
    <w:p w14:paraId="01B550D0" w14:textId="721DF2F5" w:rsidR="00B2692E" w:rsidRPr="009B3C1B" w:rsidRDefault="00B2692E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4.</w:t>
      </w:r>
      <w:r w:rsidR="009627DF" w:rsidRPr="009B3C1B">
        <w:rPr>
          <w:rFonts w:ascii="Arial" w:hAnsi="Arial" w:cs="Arial"/>
        </w:rPr>
        <w:t xml:space="preserve"> </w:t>
      </w:r>
      <w:r w:rsidR="009627DF" w:rsidRPr="009B3C1B">
        <w:rPr>
          <w:rFonts w:ascii="Arial" w:hAnsi="Arial" w:cs="Arial"/>
          <w:b/>
          <w:bCs/>
        </w:rPr>
        <w:t>samochody i środki transportu osobistego</w:t>
      </w:r>
      <w:r w:rsidR="009627DF" w:rsidRPr="009B3C1B">
        <w:rPr>
          <w:rFonts w:ascii="Arial" w:hAnsi="Arial" w:cs="Arial"/>
        </w:rPr>
        <w:t xml:space="preserve"> – 12 wystąpień (rok 2023 – 9 rok 2022 – 5; rok 2021 – 8; rok2020 – 7; rok 2019 – 14).</w:t>
      </w:r>
    </w:p>
    <w:p w14:paraId="34AD5532" w14:textId="77777777" w:rsidR="00B2692E" w:rsidRPr="009B3C1B" w:rsidRDefault="00B2692E" w:rsidP="009B3C1B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6922AD06" w14:textId="6BCC688C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 xml:space="preserve">B. W </w:t>
      </w:r>
      <w:r w:rsidR="00946C85" w:rsidRPr="009B3C1B">
        <w:rPr>
          <w:rFonts w:ascii="Arial" w:hAnsi="Arial" w:cs="Arial"/>
          <w:b/>
          <w:bCs/>
        </w:rPr>
        <w:t>zakresie usług</w:t>
      </w:r>
    </w:p>
    <w:p w14:paraId="332F0C2D" w14:textId="016DE557" w:rsidR="00B2692E" w:rsidRPr="009B3C1B" w:rsidRDefault="00B2692E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Ilość wystąpień w 202</w:t>
      </w:r>
      <w:r w:rsidR="003A40A6" w:rsidRPr="009B3C1B">
        <w:rPr>
          <w:rFonts w:ascii="Arial" w:hAnsi="Arial" w:cs="Arial"/>
          <w:b/>
          <w:bCs/>
        </w:rPr>
        <w:t>3</w:t>
      </w:r>
      <w:r w:rsidRPr="009B3C1B">
        <w:rPr>
          <w:rFonts w:ascii="Arial" w:hAnsi="Arial" w:cs="Arial"/>
          <w:b/>
          <w:bCs/>
        </w:rPr>
        <w:t>r.w zależności od sektora/branży (poniżej 5 najpopularniejszych sektorów):</w:t>
      </w:r>
    </w:p>
    <w:p w14:paraId="7254BE7B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</w:t>
      </w:r>
      <w:r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  <w:b/>
          <w:bCs/>
        </w:rPr>
        <w:t>telekomunikacyjne</w:t>
      </w:r>
      <w:r w:rsidRPr="009B3C1B">
        <w:rPr>
          <w:rFonts w:ascii="Arial" w:hAnsi="Arial" w:cs="Arial"/>
        </w:rPr>
        <w:t xml:space="preserve">– 19 wystąpień (rok 2022 – 19; rok 2021 -26; rok 2020 – 33; rok 2019 – 29). </w:t>
      </w:r>
    </w:p>
    <w:p w14:paraId="381C65D3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</w:t>
      </w:r>
      <w:r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  <w:b/>
          <w:bCs/>
        </w:rPr>
        <w:t>turystyka i rekreacja</w:t>
      </w:r>
      <w:r w:rsidRPr="009B3C1B">
        <w:rPr>
          <w:rFonts w:ascii="Arial" w:hAnsi="Arial" w:cs="Arial"/>
        </w:rPr>
        <w:t>– 16 wystąpień (rok 2022- 17; rok 2021- 17; rok 2020 – 24; rok 2019 – 13).</w:t>
      </w:r>
    </w:p>
    <w:p w14:paraId="347B3448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</w:t>
      </w:r>
      <w:r w:rsidRPr="009B3C1B">
        <w:rPr>
          <w:rFonts w:ascii="Arial" w:hAnsi="Arial" w:cs="Arial"/>
        </w:rPr>
        <w:t xml:space="preserve"> </w:t>
      </w:r>
      <w:r w:rsidRPr="009B3C1B">
        <w:rPr>
          <w:rFonts w:ascii="Arial" w:hAnsi="Arial" w:cs="Arial"/>
          <w:b/>
          <w:bCs/>
        </w:rPr>
        <w:t>sektor energetyczny i wodny</w:t>
      </w:r>
      <w:r w:rsidRPr="009B3C1B">
        <w:rPr>
          <w:rFonts w:ascii="Arial" w:hAnsi="Arial" w:cs="Arial"/>
        </w:rPr>
        <w:t xml:space="preserve"> – 13 wystąpień (rok 2022- 8; rok 2021 – 8; rok 2020 – 10; rok 2019 – 14). </w:t>
      </w:r>
    </w:p>
    <w:p w14:paraId="759185D2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4.</w:t>
      </w:r>
      <w:bookmarkStart w:id="0" w:name="_Hlk187210960"/>
      <w:r w:rsidRPr="009B3C1B">
        <w:rPr>
          <w:rFonts w:ascii="Arial" w:hAnsi="Arial" w:cs="Arial"/>
          <w:b/>
          <w:bCs/>
        </w:rPr>
        <w:t>bieżąca konserwacja i utrzymanie domu</w:t>
      </w:r>
      <w:r w:rsidRPr="009B3C1B">
        <w:rPr>
          <w:rFonts w:ascii="Arial" w:hAnsi="Arial" w:cs="Arial"/>
        </w:rPr>
        <w:t xml:space="preserve"> – 12 wystąpień (rok 2022 – 19; rok 2021 – 17; rok 2020 – 12; rok 2019 – 32).</w:t>
      </w:r>
    </w:p>
    <w:bookmarkEnd w:id="0"/>
    <w:p w14:paraId="6AC7B70F" w14:textId="77777777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lastRenderedPageBreak/>
        <w:t xml:space="preserve">5. </w:t>
      </w:r>
      <w:bookmarkStart w:id="1" w:name="_Hlk187211282"/>
      <w:r w:rsidRPr="009B3C1B">
        <w:rPr>
          <w:rFonts w:ascii="Arial" w:hAnsi="Arial" w:cs="Arial"/>
          <w:b/>
          <w:bCs/>
        </w:rPr>
        <w:t>transportowe</w:t>
      </w:r>
      <w:r w:rsidRPr="009B3C1B">
        <w:rPr>
          <w:rFonts w:ascii="Arial" w:hAnsi="Arial" w:cs="Arial"/>
        </w:rPr>
        <w:t xml:space="preserve"> – 8 wystąpień (rok 2022 – 14; rok 2021 – 8; rok 2020 – 11; rok 2019 – 8).</w:t>
      </w:r>
      <w:bookmarkEnd w:id="1"/>
    </w:p>
    <w:p w14:paraId="0AC69857" w14:textId="0A27963C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roku 2023, podobnie jak w latach ubiegłych, w zakresie usług najwięcej wystąpień dotyczyło usług telekomunikacyjnych. Ilość wystąpień w/w sektorach jest podobna do roku ubiegłego, z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tendencją wzrostową w sektorze energetycznym. </w:t>
      </w:r>
    </w:p>
    <w:p w14:paraId="615B929A" w14:textId="77777777" w:rsidR="008615DC" w:rsidRPr="009B3C1B" w:rsidRDefault="008615DC" w:rsidP="009B3C1B">
      <w:pPr>
        <w:spacing w:line="240" w:lineRule="auto"/>
        <w:jc w:val="both"/>
        <w:rPr>
          <w:rFonts w:ascii="Arial" w:hAnsi="Arial" w:cs="Arial"/>
        </w:rPr>
      </w:pPr>
    </w:p>
    <w:p w14:paraId="1595456E" w14:textId="10A039A5" w:rsidR="003A40A6" w:rsidRPr="009B3C1B" w:rsidRDefault="003A40A6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Ilość wystąpień w 202</w:t>
      </w:r>
      <w:r w:rsidR="00BF6145" w:rsidRPr="009B3C1B">
        <w:rPr>
          <w:rFonts w:ascii="Arial" w:hAnsi="Arial" w:cs="Arial"/>
          <w:b/>
          <w:bCs/>
        </w:rPr>
        <w:t>4</w:t>
      </w:r>
      <w:r w:rsidRPr="009B3C1B">
        <w:rPr>
          <w:rFonts w:ascii="Arial" w:hAnsi="Arial" w:cs="Arial"/>
          <w:b/>
          <w:bCs/>
        </w:rPr>
        <w:t>r.</w:t>
      </w:r>
      <w:r w:rsidR="00BF6145" w:rsidRPr="009B3C1B">
        <w:rPr>
          <w:rFonts w:ascii="Arial" w:hAnsi="Arial" w:cs="Arial"/>
          <w:b/>
          <w:bCs/>
        </w:rPr>
        <w:t xml:space="preserve"> </w:t>
      </w:r>
      <w:r w:rsidRPr="009B3C1B">
        <w:rPr>
          <w:rFonts w:ascii="Arial" w:hAnsi="Arial" w:cs="Arial"/>
          <w:b/>
          <w:bCs/>
        </w:rPr>
        <w:t>w zależności od sektora/branży (poniżej 5 najpopularniejszych sektorów):</w:t>
      </w:r>
    </w:p>
    <w:p w14:paraId="1E9A8202" w14:textId="2215FD06" w:rsidR="008D2217" w:rsidRPr="009B3C1B" w:rsidRDefault="006F5D62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1.</w:t>
      </w:r>
      <w:r w:rsidR="008D2217" w:rsidRPr="009B3C1B">
        <w:rPr>
          <w:rFonts w:ascii="Arial" w:hAnsi="Arial" w:cs="Arial"/>
          <w:b/>
          <w:bCs/>
        </w:rPr>
        <w:t xml:space="preserve"> telekomunikacyjne</w:t>
      </w:r>
      <w:r w:rsidR="008D2217" w:rsidRPr="009B3C1B">
        <w:rPr>
          <w:rFonts w:ascii="Arial" w:hAnsi="Arial" w:cs="Arial"/>
        </w:rPr>
        <w:t xml:space="preserve">– 30 wystąpień (rok 2023 – 19;rok 2022 – 19; rok 2021 -26; rok 2020 – 33; rok 2019 – 29). </w:t>
      </w:r>
    </w:p>
    <w:p w14:paraId="79A33D7F" w14:textId="1D28AA2B" w:rsidR="006F5D62" w:rsidRPr="009B3C1B" w:rsidRDefault="008D2217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2. turystyka i rekreacja</w:t>
      </w:r>
      <w:r w:rsidRPr="009B3C1B">
        <w:rPr>
          <w:rFonts w:ascii="Arial" w:hAnsi="Arial" w:cs="Arial"/>
        </w:rPr>
        <w:t>– 28 wystąpień (rok 2023 – 16; rok 2022- 17; rok 2021- 17; rok 2020 – 24; rok 2019 – 13).</w:t>
      </w:r>
    </w:p>
    <w:p w14:paraId="69063AE1" w14:textId="1C878A1B" w:rsidR="006F5D62" w:rsidRPr="009B3C1B" w:rsidRDefault="006F5D62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3.</w:t>
      </w:r>
      <w:r w:rsidR="008D2217" w:rsidRPr="009B3C1B">
        <w:rPr>
          <w:rFonts w:ascii="Arial" w:hAnsi="Arial" w:cs="Arial"/>
          <w:b/>
          <w:bCs/>
        </w:rPr>
        <w:t xml:space="preserve"> bieżąca konserwacja i utrzymanie domu</w:t>
      </w:r>
      <w:r w:rsidR="008D2217" w:rsidRPr="009B3C1B">
        <w:rPr>
          <w:rFonts w:ascii="Arial" w:hAnsi="Arial" w:cs="Arial"/>
        </w:rPr>
        <w:t xml:space="preserve"> – 1</w:t>
      </w:r>
      <w:r w:rsidR="00C7252E" w:rsidRPr="009B3C1B">
        <w:rPr>
          <w:rFonts w:ascii="Arial" w:hAnsi="Arial" w:cs="Arial"/>
        </w:rPr>
        <w:t>3</w:t>
      </w:r>
      <w:r w:rsidR="008D2217" w:rsidRPr="009B3C1B">
        <w:rPr>
          <w:rFonts w:ascii="Arial" w:hAnsi="Arial" w:cs="Arial"/>
        </w:rPr>
        <w:t xml:space="preserve"> wystąpień (</w:t>
      </w:r>
      <w:r w:rsidR="00C7252E" w:rsidRPr="009B3C1B">
        <w:rPr>
          <w:rFonts w:ascii="Arial" w:hAnsi="Arial" w:cs="Arial"/>
        </w:rPr>
        <w:t>rok 2023- 12;</w:t>
      </w:r>
      <w:r w:rsidR="008D2217" w:rsidRPr="009B3C1B">
        <w:rPr>
          <w:rFonts w:ascii="Arial" w:hAnsi="Arial" w:cs="Arial"/>
        </w:rPr>
        <w:t>rok 2022 – 19; rok 2021 – 17; rok 2020 – 12; rok 2019 – 32).</w:t>
      </w:r>
    </w:p>
    <w:p w14:paraId="23D3248F" w14:textId="2BD015CB" w:rsidR="006F5D62" w:rsidRPr="009B3C1B" w:rsidRDefault="006F5D62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  <w:b/>
          <w:bCs/>
        </w:rPr>
        <w:t>4.</w:t>
      </w:r>
      <w:r w:rsidR="00C7252E" w:rsidRPr="009B3C1B">
        <w:rPr>
          <w:rFonts w:ascii="Arial" w:hAnsi="Arial" w:cs="Arial"/>
          <w:b/>
          <w:bCs/>
        </w:rPr>
        <w:t xml:space="preserve"> transportowe</w:t>
      </w:r>
      <w:r w:rsidR="00C7252E" w:rsidRPr="009B3C1B">
        <w:rPr>
          <w:rFonts w:ascii="Arial" w:hAnsi="Arial" w:cs="Arial"/>
        </w:rPr>
        <w:t xml:space="preserve"> – 10 wystąpień (rok 2023 – 8; rok 2022 – 14; rok 2021 – 8; rok 2020 – 11; rok 2019 – 8).</w:t>
      </w:r>
    </w:p>
    <w:p w14:paraId="52EC7A2F" w14:textId="3FAE3E48" w:rsidR="00AB5FB9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zależności od sposobu zawarcia umowy </w:t>
      </w:r>
      <w:r w:rsidR="006F5D62" w:rsidRPr="009B3C1B">
        <w:rPr>
          <w:rFonts w:ascii="Arial" w:hAnsi="Arial" w:cs="Arial"/>
        </w:rPr>
        <w:t xml:space="preserve">w roku 2023 </w:t>
      </w:r>
      <w:r w:rsidRPr="009B3C1B">
        <w:rPr>
          <w:rFonts w:ascii="Arial" w:hAnsi="Arial" w:cs="Arial"/>
        </w:rPr>
        <w:t>najwięcej spraw dotyczyło umów zawartych w siedzibie sprzedawcy 175, następnie na odległość – 97 i poza lokalem przedsiębiorstwa – 16.</w:t>
      </w:r>
      <w:r w:rsidR="006F5D62" w:rsidRPr="009B3C1B">
        <w:rPr>
          <w:rFonts w:ascii="Arial" w:hAnsi="Arial" w:cs="Arial"/>
        </w:rPr>
        <w:t xml:space="preserve"> </w:t>
      </w:r>
      <w:r w:rsidR="00C7252E" w:rsidRPr="009B3C1B">
        <w:rPr>
          <w:rFonts w:ascii="Arial" w:hAnsi="Arial" w:cs="Arial"/>
        </w:rPr>
        <w:t xml:space="preserve">Podobnie </w:t>
      </w:r>
      <w:r w:rsidR="006F5D62" w:rsidRPr="009B3C1B">
        <w:rPr>
          <w:rFonts w:ascii="Arial" w:hAnsi="Arial" w:cs="Arial"/>
        </w:rPr>
        <w:t xml:space="preserve"> w 2024 </w:t>
      </w:r>
      <w:r w:rsidR="00C7252E" w:rsidRPr="009B3C1B">
        <w:rPr>
          <w:rFonts w:ascii="Arial" w:hAnsi="Arial" w:cs="Arial"/>
        </w:rPr>
        <w:t xml:space="preserve">roku najwięcej wystąpień dotyczyło umów zawartych w lokalu, na odległość – 100, a poza lokalem przedsiębiorstwa – 9. </w:t>
      </w:r>
    </w:p>
    <w:p w14:paraId="551833B1" w14:textId="46816621" w:rsidR="00AB5FB9" w:rsidRPr="009B3C1B" w:rsidRDefault="00AB5FB9" w:rsidP="009B3C1B">
      <w:pPr>
        <w:spacing w:line="240" w:lineRule="auto"/>
        <w:jc w:val="both"/>
        <w:rPr>
          <w:rFonts w:ascii="Arial" w:hAnsi="Arial" w:cs="Arial"/>
          <w:b/>
          <w:bCs/>
        </w:rPr>
      </w:pPr>
      <w:bookmarkStart w:id="2" w:name="_Hlk187242797"/>
      <w:r w:rsidRPr="009B3C1B">
        <w:rPr>
          <w:rFonts w:ascii="Arial" w:hAnsi="Arial" w:cs="Arial"/>
          <w:b/>
          <w:bCs/>
        </w:rPr>
        <w:t xml:space="preserve">C) </w:t>
      </w:r>
      <w:r w:rsidR="00946C85" w:rsidRPr="009B3C1B">
        <w:rPr>
          <w:rFonts w:ascii="Arial" w:hAnsi="Arial" w:cs="Arial"/>
          <w:b/>
          <w:bCs/>
        </w:rPr>
        <w:t>Skuteczność wystąpień:</w:t>
      </w:r>
    </w:p>
    <w:p w14:paraId="6BF9EB32" w14:textId="4A5B9C35" w:rsidR="0000321D" w:rsidRPr="009B3C1B" w:rsidRDefault="00AB5FB9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</w:t>
      </w:r>
      <w:r w:rsidRPr="009B3C1B">
        <w:rPr>
          <w:rFonts w:ascii="Arial" w:hAnsi="Arial" w:cs="Arial"/>
          <w:b/>
          <w:bCs/>
        </w:rPr>
        <w:t>202</w:t>
      </w:r>
      <w:r w:rsidR="00E25731" w:rsidRPr="009B3C1B">
        <w:rPr>
          <w:rFonts w:ascii="Arial" w:hAnsi="Arial" w:cs="Arial"/>
          <w:b/>
          <w:bCs/>
        </w:rPr>
        <w:t>3</w:t>
      </w:r>
      <w:r w:rsidRPr="009B3C1B">
        <w:rPr>
          <w:rFonts w:ascii="Arial" w:hAnsi="Arial" w:cs="Arial"/>
        </w:rPr>
        <w:t xml:space="preserve"> roku </w:t>
      </w:r>
      <w:r w:rsidR="00E25731" w:rsidRPr="009B3C1B">
        <w:rPr>
          <w:rFonts w:ascii="Arial" w:hAnsi="Arial" w:cs="Arial"/>
        </w:rPr>
        <w:t>do rzecznika wpłynęło ogółem 325 wniosków, z czego w 305 sprawach podjęto 318 wystąpień do przedsiębiorców. Ilość wystąpień jest wyższa niż spraw, z uwagi na to, że</w:t>
      </w:r>
      <w:r w:rsidR="002A26B3" w:rsidRPr="009B3C1B">
        <w:rPr>
          <w:rFonts w:ascii="Arial" w:hAnsi="Arial" w:cs="Arial"/>
        </w:rPr>
        <w:t> </w:t>
      </w:r>
      <w:r w:rsidR="00E25731" w:rsidRPr="009B3C1B">
        <w:rPr>
          <w:rFonts w:ascii="Arial" w:hAnsi="Arial" w:cs="Arial"/>
        </w:rPr>
        <w:t xml:space="preserve">zdarzają się sprawy, w których wystąpienia kierowane są do więcej niż jednego przedsiębiorcy.  </w:t>
      </w:r>
      <w:r w:rsidR="0000321D" w:rsidRPr="009B3C1B">
        <w:rPr>
          <w:rFonts w:ascii="Arial" w:hAnsi="Arial" w:cs="Arial"/>
        </w:rPr>
        <w:t xml:space="preserve">Spraw zakończonych pozytywnie było 138, a negatywnie 105. W 17 sprawach przedsiębiorcy zaproponowali ponowne rozpatrzenie sprawy, w 16 przedmiotem wystąpienia było uzyskanie wyjaśnień, a w 27 sprawach przedsiębiorcy nie udzielili odpowiedzi, i tym samym  nie było możliwości polubownego zakończenia czy wyjaśnienia sprawy. </w:t>
      </w:r>
    </w:p>
    <w:p w14:paraId="0BDA6FEE" w14:textId="72CDA360" w:rsidR="0000321D" w:rsidRPr="009B3C1B" w:rsidRDefault="0000321D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</w:t>
      </w:r>
      <w:r w:rsidRPr="009B3C1B">
        <w:rPr>
          <w:rFonts w:ascii="Arial" w:hAnsi="Arial" w:cs="Arial"/>
          <w:b/>
          <w:bCs/>
        </w:rPr>
        <w:t>2024</w:t>
      </w:r>
      <w:r w:rsidRPr="009B3C1B">
        <w:rPr>
          <w:rFonts w:ascii="Arial" w:hAnsi="Arial" w:cs="Arial"/>
        </w:rPr>
        <w:t xml:space="preserve"> roku do rzecznika wpłynęło ogółem 341 wniosków, z czego w 325 sprawach podjęto lub zostaną podjęte 343 wystąpienia do przedsiębiorców. Ilość wystąpień jest wyższa niż spraw, z uwagi na to, że zdarzają się sprawy, w których wystąpienia kierowane są do więcej niż jednego przedsiębiorcy.  Spraw zakończonych pozytywnie na dzień 08.01.2024r. odnotowano 133,  negatywnie 95, a 46 pozostaje w toku. W 19 sprawach przedsiębiorcy zaproponowali ponowne rozpatrzenie sprawy, w 23 przedmiotem wystąpienia było uzyskanie wyjaśnień, a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9 sprawach przedsiębiorcy nie udzielili odpowiedzi, i tym samym  nie było możliwości polubownego zakończenia czy wyjaśnienia sprawy.</w:t>
      </w:r>
    </w:p>
    <w:p w14:paraId="142ABA7D" w14:textId="14FCB466" w:rsidR="00946C85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Zaznaczyć należy, że nie zawsze roszczenia konsumentów są uzasadnione, albo brak jest dowodów, które pozwoliłyby przeforsować racje konsumentów. Zdarza się też tak, że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przedsiębiorcy mimo podtrzymywania stanowiska o braku zasadności reklamacji proponują polubowne zakończenie sporu. W bardzo wielu sprawach istota sporu dotyczy nie tyle problemu prawnego, co okoliczności faktycznych, w tym przede wszystkim wadliwości towaru. W takich przypadkach konieczna jest wiedza specjalistyczna, np. opinia rzeczoznawcy, którą rzecznik nie dysponuje, z kolei konsument rezygnuje z powołania rzeczoznawcy z uwagi na koszty. </w:t>
      </w:r>
    </w:p>
    <w:p w14:paraId="7DED649D" w14:textId="77777777" w:rsidR="00DC2AEB" w:rsidRPr="009B3C1B" w:rsidRDefault="00DC2AEB" w:rsidP="009B3C1B">
      <w:pPr>
        <w:spacing w:line="240" w:lineRule="auto"/>
        <w:jc w:val="both"/>
        <w:rPr>
          <w:rFonts w:ascii="Arial" w:hAnsi="Arial" w:cs="Arial"/>
        </w:rPr>
      </w:pPr>
    </w:p>
    <w:p w14:paraId="4AD6A794" w14:textId="61CD70A0" w:rsidR="00946C85" w:rsidRPr="009B3C1B" w:rsidRDefault="00B4664B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lastRenderedPageBreak/>
        <w:t>III</w:t>
      </w:r>
      <w:r w:rsidR="00E25731" w:rsidRPr="009B3C1B">
        <w:rPr>
          <w:rFonts w:ascii="Arial" w:hAnsi="Arial" w:cs="Arial"/>
          <w:b/>
          <w:bCs/>
        </w:rPr>
        <w:t>.</w:t>
      </w:r>
      <w:r w:rsidRPr="009B3C1B">
        <w:rPr>
          <w:rFonts w:ascii="Arial" w:hAnsi="Arial" w:cs="Arial"/>
          <w:b/>
          <w:bCs/>
        </w:rPr>
        <w:t xml:space="preserve"> </w:t>
      </w:r>
      <w:r w:rsidR="00E25731" w:rsidRPr="009B3C1B">
        <w:rPr>
          <w:rFonts w:ascii="Arial" w:hAnsi="Arial" w:cs="Arial"/>
          <w:b/>
          <w:bCs/>
        </w:rPr>
        <w:t>Współdziałanie z Delegaturami Urzędu Ochrony Konkurencji i Konsumentów, organami Inspekcji Handlowej, Inspekcji Sanitarnej oraz organizacjami konsumenckimi w zakresie ochrony konsumentów.</w:t>
      </w:r>
    </w:p>
    <w:p w14:paraId="697742F7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</w:t>
      </w:r>
      <w:r w:rsidRPr="009B3C1B">
        <w:rPr>
          <w:rFonts w:ascii="Arial" w:hAnsi="Arial" w:cs="Arial"/>
          <w:b/>
          <w:bCs/>
        </w:rPr>
        <w:t>2023r.</w:t>
      </w:r>
      <w:r w:rsidRPr="009B3C1B">
        <w:rPr>
          <w:rFonts w:ascii="Arial" w:hAnsi="Arial" w:cs="Arial"/>
        </w:rPr>
        <w:t xml:space="preserve"> Rzecznik w 21 przypadkach podjął czynności w ramach współdziałania z UOKiK (Centralą w Warszawie, Delegaturami w Bydgoszczy, Poznaniu, we Wrocławiu) – 13 zawiadomień i sygnalizacji, a także Śląskim Wojewódzkim Inspektoratem Inspekcji Handlowej w Katowicach, Urzędem Dozoru Technicznego w Katowicach – 4 zawiadomienia oraz Urzędem Skarbowym w Gliwicach i Krakowie, Urzędem Ochrony Danych Osobowych oraz rzeszowskim oddziałem Federacji Konsumentów. </w:t>
      </w:r>
    </w:p>
    <w:p w14:paraId="008D6109" w14:textId="49A90127" w:rsidR="00946C85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</w:t>
      </w:r>
      <w:r w:rsidRPr="009B3C1B">
        <w:rPr>
          <w:rFonts w:ascii="Arial" w:hAnsi="Arial" w:cs="Arial"/>
          <w:b/>
          <w:bCs/>
        </w:rPr>
        <w:t>2024r.</w:t>
      </w:r>
      <w:r w:rsidRPr="009B3C1B">
        <w:rPr>
          <w:rFonts w:ascii="Arial" w:hAnsi="Arial" w:cs="Arial"/>
        </w:rPr>
        <w:t xml:space="preserve"> Rzecznik w 16 przypadkach podjął czynności w ramach współdziałania z UOKiK (Centralą w Warszawie, Delegaturą w Bydgoszczy) złożył w sumie 7  zawiadomień i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sygnalizacji, a także Śląskim Wojewódzkim Inspektoratem Inspekcji Handlowej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Katowicach – 6 wniosków o kontrole. Także w dwóch przypadkach Rzecznik w związku ze zgłoszonymi problemami zwrócił się o informacje i konsultacje: do UOKIK w sprawie przeprowadzonej kontroli kotłów CO i Rzecznika Praw Pacjenta w sprawie usług i zabiegów kosmetologicznych i medycyny estetycznej. </w:t>
      </w:r>
    </w:p>
    <w:p w14:paraId="235730FE" w14:textId="77777777" w:rsidR="00DC2AEB" w:rsidRPr="009B3C1B" w:rsidRDefault="00DC2AEB" w:rsidP="009B3C1B">
      <w:pPr>
        <w:spacing w:line="240" w:lineRule="auto"/>
        <w:jc w:val="both"/>
        <w:rPr>
          <w:rFonts w:ascii="Arial" w:hAnsi="Arial" w:cs="Arial"/>
          <w:b/>
          <w:bCs/>
        </w:rPr>
      </w:pPr>
    </w:p>
    <w:p w14:paraId="3033A1F8" w14:textId="72520C29" w:rsidR="00E25731" w:rsidRPr="009B3C1B" w:rsidRDefault="00B4664B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IV</w:t>
      </w:r>
      <w:r w:rsidR="00E25731" w:rsidRPr="009B3C1B">
        <w:rPr>
          <w:rFonts w:ascii="Arial" w:hAnsi="Arial" w:cs="Arial"/>
          <w:b/>
          <w:bCs/>
        </w:rPr>
        <w:t>. Wytaczanie powództw na rzecz konsumentów i wstępowanie do toczących się postępowań.</w:t>
      </w:r>
    </w:p>
    <w:p w14:paraId="47D985CE" w14:textId="0F59CC6E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</w:t>
      </w:r>
      <w:r w:rsidRPr="009B3C1B">
        <w:rPr>
          <w:rFonts w:ascii="Arial" w:hAnsi="Arial" w:cs="Arial"/>
          <w:b/>
          <w:bCs/>
        </w:rPr>
        <w:t>2023</w:t>
      </w:r>
      <w:r w:rsidRPr="009B3C1B">
        <w:rPr>
          <w:rFonts w:ascii="Arial" w:hAnsi="Arial" w:cs="Arial"/>
        </w:rPr>
        <w:t>r. Rzecznik sporządził 8 pozwów wnoszonych indywidualnie przez konsumentów (7 do sądu rejonowego, 1 do sądu polubownego). W jednym przypadku rzecznik wytoczył powództwo o  zapłatę na rzecz konsumenta. W toczących się postępowaniach sporządzono 5 pism procesowych – w tym odpowiedź na wezwanie sądu dot. żądania pozwu, odpowiedź na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sprzeciw pozwanego, wniosek o wszczęcie postępowania egzekucyjnego o zabezpieczenie roszczenia oraz zażalenie na postanowienie o umorzeniu postępowania przez prokuratora. Warto zaznaczyć, że obsługa spraw procesowych nie ogranicza się do jednego roku, czyli okresu sprawozdawczego.  Spraw o ukaranie w roku 2023r. zarejestrowano 28.</w:t>
      </w:r>
    </w:p>
    <w:p w14:paraId="14BA6F5A" w14:textId="59587C21" w:rsidR="004865FF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</w:t>
      </w:r>
      <w:r w:rsidRPr="009B3C1B">
        <w:rPr>
          <w:rFonts w:ascii="Arial" w:hAnsi="Arial" w:cs="Arial"/>
          <w:b/>
          <w:bCs/>
        </w:rPr>
        <w:t>2024</w:t>
      </w:r>
      <w:r w:rsidRPr="009B3C1B">
        <w:rPr>
          <w:rFonts w:ascii="Arial" w:hAnsi="Arial" w:cs="Arial"/>
        </w:rPr>
        <w:t xml:space="preserve">r. Rzecznik sporządził 4 pozwy, 2 sprzeciwy, 1 apelację wnoszone indywidualnie przez konsumentów do sądu rejonowego. W jednym przypadku rzecznik wytoczył powództwo o 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zapłatę na rzecz konsumenta. W toczących się postępowaniach sporządzono 5 pism procesowych – w tym odpowiedź na apelację, wnioski o wszczęcie egzekucji, zabezpieczenie roszczenia. W dwóch sprawach sądowych Rzecznik wniósł do sądu rejonowego istotny pogląd w sprawie. Spraw o ukaranie w roku 2024r. zarejestrowano 26.</w:t>
      </w:r>
    </w:p>
    <w:p w14:paraId="7EEEFA16" w14:textId="3DE1A66D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Warto zaznaczyć, że obsługa spraw procesowych nie ogranicza się do jednego roku, czyli okresu sprawozdawczego. Sprawy, w których rzecznik pomaga konsumentom lub w których bierze udział trwają często dłużej niż dwa lata i wiążą się z koniecznością sporządzania dalszych pism procesowych. </w:t>
      </w:r>
    </w:p>
    <w:p w14:paraId="7984D598" w14:textId="37BEB43A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Z roku na rok można także zaobserwować mniejszą chęć ze strony konsumentów do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korzystania z drogi procesowej. Sporo spraw konsumenckich ma zwykle wartość przedmiotu sporu, która w porównaniu z ewentualnymi kosztami sądowymi i procesowymi jest niższa, co powoduje niechęć do korzystania z tej formy dochodzenia roszczeń. Wiele spraw konsumenckich nie trafia do sądu z uwagi na ryzyko dowodowe. Konsumenci często nie posiadają dostatecznych dowodów, wiele umów zawieranych jest ustnie. Ponadto jak pokazują statystyki dot. rodzaju spraw, z jakimi konsumenci zgłaszają się do rzecznika wynika, że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większości są to spory, w których istota odnosi się do wadliwości rzeczy czy usługi, czy też wprowadzenia w błąd. Ciężar dowodu spoczywa po stronie konsumenta, a wynik orzeczenia w sprawach o wadliwość uzależniony jest zwykle od dowodu w postaci opinii biegłego. Konsumenci z uwagi na koszty nie chcą konsultować czy uzyskiwać opinii specjalistów jeszcze </w:t>
      </w:r>
      <w:proofErr w:type="spellStart"/>
      <w:r w:rsidRPr="009B3C1B">
        <w:rPr>
          <w:rFonts w:ascii="Arial" w:hAnsi="Arial" w:cs="Arial"/>
        </w:rPr>
        <w:t>przedprocesowo</w:t>
      </w:r>
      <w:proofErr w:type="spellEnd"/>
      <w:r w:rsidRPr="009B3C1B">
        <w:rPr>
          <w:rFonts w:ascii="Arial" w:hAnsi="Arial" w:cs="Arial"/>
        </w:rPr>
        <w:t xml:space="preserve">, a koszty takich dowodów w samym procesie powodują niechęć do kierowania spraw do sądu. Nie bez znaczenia jest także długość postępowań </w:t>
      </w:r>
      <w:r w:rsidRPr="009B3C1B">
        <w:rPr>
          <w:rFonts w:ascii="Arial" w:hAnsi="Arial" w:cs="Arial"/>
        </w:rPr>
        <w:lastRenderedPageBreak/>
        <w:t>sądowych. W przypadku postępowań w trybach nakazowych, orzeczenia wydawane są w dosyć szybkich terminach, jednakże przedłuża się procedura doręczania pism i tym samym uzyskanie prawomocności, co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prawdopodobnie wynika z problemów związanych z obsługa administracyjną w sądach. Konsumentów zniechęca także ryzyko braku egzekwowalności orzeczeń. W dwóch sprawach wytoczonych przez rzecznika na rzecz konsumentów zakończonych zasądzeniem zapłaty, gdzie wartość przedmiotu sporu była znaczna w jednej sprawie 9. 900 zł., a w drugiej 75.829,52 zł. nie udało się wyegzekwować należności z uwagi na bezskuteczność egzekucji. </w:t>
      </w:r>
    </w:p>
    <w:p w14:paraId="1BF3B587" w14:textId="77777777" w:rsidR="00DC2AEB" w:rsidRPr="009B3C1B" w:rsidRDefault="00DC2AEB" w:rsidP="009B3C1B">
      <w:pPr>
        <w:spacing w:line="240" w:lineRule="auto"/>
        <w:jc w:val="both"/>
        <w:rPr>
          <w:rFonts w:ascii="Arial" w:hAnsi="Arial" w:cs="Arial"/>
        </w:rPr>
      </w:pPr>
    </w:p>
    <w:p w14:paraId="7803298B" w14:textId="7186FD72" w:rsidR="00E25731" w:rsidRPr="009B3C1B" w:rsidRDefault="00B4664B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V</w:t>
      </w:r>
      <w:r w:rsidR="00E25731" w:rsidRPr="009B3C1B">
        <w:rPr>
          <w:rFonts w:ascii="Arial" w:hAnsi="Arial" w:cs="Arial"/>
          <w:b/>
          <w:bCs/>
        </w:rPr>
        <w:t>.</w:t>
      </w:r>
      <w:r w:rsidRPr="009B3C1B">
        <w:rPr>
          <w:rFonts w:ascii="Arial" w:hAnsi="Arial" w:cs="Arial"/>
          <w:b/>
          <w:bCs/>
        </w:rPr>
        <w:t xml:space="preserve"> </w:t>
      </w:r>
      <w:r w:rsidR="00E25731" w:rsidRPr="009B3C1B">
        <w:rPr>
          <w:rFonts w:ascii="Arial" w:hAnsi="Arial" w:cs="Arial"/>
          <w:b/>
          <w:bCs/>
        </w:rPr>
        <w:t>Edukacja</w:t>
      </w:r>
    </w:p>
    <w:p w14:paraId="2C5DA71E" w14:textId="36E023A5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Rzecznik na bieżąco w codziennych kontaktach z konsumentami udziela informacji 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przysługujących im prawach poza zgłoszonym przez konsumenta problemem. Rzecznik udostępnia materiały w postaci broszur i ulotek, w tym w większości opracowanych samodzielnie, a na stronie internetowej zamieszczony jest poradnik dla konsumentów wraz ze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wzorami najpopularniejszych pism przydatnych w reklamacjach czy umowach zawieranych na odległość i poza lokalem przedsiębiorstwa.</w:t>
      </w:r>
    </w:p>
    <w:p w14:paraId="200E22AC" w14:textId="54E2A47F" w:rsidR="009A3D1C" w:rsidRPr="009B3C1B" w:rsidRDefault="009A3D1C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ROK 2023</w:t>
      </w:r>
    </w:p>
    <w:p w14:paraId="4FF56BF2" w14:textId="1572E846" w:rsidR="00946C85" w:rsidRPr="009B3C1B" w:rsidRDefault="00946C85" w:rsidP="009B3C1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Edukacja młodzieży:</w:t>
      </w:r>
    </w:p>
    <w:p w14:paraId="1FE0F9D9" w14:textId="15FB3665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2023r. Rzecznik przeprowadził w tradycyjnej formie zajęcia edukacyjne w 4 szkołach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Sosnowcu ( w tym dwóch roczników klas VIII przypadających na osobne lata szkolne):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sumie 22 jednostki lekcyjne – ok. 450 uczniów.</w:t>
      </w:r>
    </w:p>
    <w:p w14:paraId="341A5050" w14:textId="37CB2035" w:rsidR="00946C85" w:rsidRPr="009B3C1B" w:rsidRDefault="00946C85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Ponadto Rzecznik przekazał Wydziałowi Edukacji Urzędu Miejskiego informacje otrzymane z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Urzędu Komisji Nadzoru Finansowego o cyklu webinariów dla uczniów  z prośbą o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przekazanie do sosnowieckich szkół. Podobnie były przekazywane informacje do Wydziału Polityki Społecznej tut. UM o </w:t>
      </w:r>
      <w:proofErr w:type="spellStart"/>
      <w:r w:rsidRPr="009B3C1B">
        <w:rPr>
          <w:rFonts w:ascii="Arial" w:hAnsi="Arial" w:cs="Arial"/>
        </w:rPr>
        <w:t>webinarach</w:t>
      </w:r>
      <w:proofErr w:type="spellEnd"/>
      <w:r w:rsidRPr="009B3C1B">
        <w:rPr>
          <w:rFonts w:ascii="Arial" w:hAnsi="Arial" w:cs="Arial"/>
        </w:rPr>
        <w:t xml:space="preserve"> z </w:t>
      </w:r>
      <w:proofErr w:type="spellStart"/>
      <w:r w:rsidRPr="009B3C1B">
        <w:rPr>
          <w:rFonts w:ascii="Arial" w:hAnsi="Arial" w:cs="Arial"/>
        </w:rPr>
        <w:t>cyberbezpieczeństwa</w:t>
      </w:r>
      <w:proofErr w:type="spellEnd"/>
      <w:r w:rsidRPr="009B3C1B">
        <w:rPr>
          <w:rFonts w:ascii="Arial" w:hAnsi="Arial" w:cs="Arial"/>
        </w:rPr>
        <w:t xml:space="preserve"> na rynku finansowym dla seniorów prowadzonych przez Urząd Komisji Nadzoru Finansowego. </w:t>
      </w:r>
    </w:p>
    <w:p w14:paraId="1FC53C45" w14:textId="77777777" w:rsidR="00946C85" w:rsidRPr="009B3C1B" w:rsidRDefault="00946C85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W roku 2023r. na prośbę studentów z Uniwersytetu Ekonomicznego w Katowicach Rzecznik przygotował materiał do prezentacji, w której na przykładzie prowadzonej sprawy należało pokazać opis stanu faktycznego, działania rzecznika, stan prawny, naruszenia przedsiębiorcy oraz zalecenia i rekomendacje dla konsumentów, aby ustrzec się podobnych naruszeń oraz gdzie zdobywać informacje o prawach konsumenta. </w:t>
      </w:r>
    </w:p>
    <w:p w14:paraId="769E30C6" w14:textId="0689BD0A" w:rsidR="009A3D1C" w:rsidRPr="009B3C1B" w:rsidRDefault="009A3D1C" w:rsidP="009B3C1B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Edukacja seniorów</w:t>
      </w:r>
    </w:p>
    <w:p w14:paraId="090B08C7" w14:textId="44411169" w:rsidR="009A3D1C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2023r. Rzecznik przeprowadził 7 spotkań edukacyjnych dla seniorów zakresu finansów i</w:t>
      </w:r>
      <w:r w:rsidR="002A26B3" w:rsidRPr="009B3C1B">
        <w:rPr>
          <w:rFonts w:ascii="Arial" w:hAnsi="Arial" w:cs="Arial"/>
        </w:rPr>
        <w:t> </w:t>
      </w:r>
      <w:proofErr w:type="spellStart"/>
      <w:r w:rsidRPr="009B3C1B">
        <w:rPr>
          <w:rFonts w:ascii="Arial" w:hAnsi="Arial" w:cs="Arial"/>
        </w:rPr>
        <w:t>cyberbezpieczeństwa</w:t>
      </w:r>
      <w:proofErr w:type="spellEnd"/>
      <w:r w:rsidRPr="009B3C1B">
        <w:rPr>
          <w:rFonts w:ascii="Arial" w:hAnsi="Arial" w:cs="Arial"/>
        </w:rPr>
        <w:t xml:space="preserve"> oraz nowych przepisów reklamacyjnych – niezgodności z umową, gwarancji, a także umów zawieranych poza lokalem przedsiębiorstwa. Jedno ze spotkań edukacyjnych miało miejsce w ramach Sosnowieckich Dni Seniora i odbyło się przy współpracy z Wydziałem Polityki Społecznej Urzędu Miejskiego w Sosnowcu. Spotkania z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seniorami odbywały się także we współpracy z Miejskim Ośrodkiem Pomocy Społecznej, Klubami Seniora przy ulicy Dietla, Sobieskiego i Warszawskiej w Sosnowcu a także Biur Poselskich posła Mateusza Bochenka i Włodzimierza Czarzastego. Podczas spotkania Rzecznik przekazał praktyczne informacje dotyczące praw reklamacyjnych, zagrożeń w sieci podczas dokonywania zakupów oraz realizowania usług finansowych, zawierania umów na pokazach handlowych i domach konsumentów, a także wyposażył seniorów w materiały edukacyjne.</w:t>
      </w:r>
    </w:p>
    <w:p w14:paraId="5A42F6C8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2CDD4BE1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720362D5" w14:textId="77777777" w:rsidR="005847F0" w:rsidRPr="009B3C1B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14DDCC68" w14:textId="78F47406" w:rsidR="00E25731" w:rsidRPr="009B3C1B" w:rsidRDefault="009A3D1C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lastRenderedPageBreak/>
        <w:t>ROK 2024</w:t>
      </w:r>
      <w:r w:rsidR="00E25731" w:rsidRPr="009B3C1B">
        <w:rPr>
          <w:rFonts w:ascii="Arial" w:hAnsi="Arial" w:cs="Arial"/>
          <w:b/>
          <w:bCs/>
        </w:rPr>
        <w:t xml:space="preserve"> </w:t>
      </w:r>
    </w:p>
    <w:p w14:paraId="795B6BE6" w14:textId="0488ABB6" w:rsidR="009A3D1C" w:rsidRPr="009B3C1B" w:rsidRDefault="009A3D1C" w:rsidP="009B3C1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Edukacja młodzieży</w:t>
      </w:r>
    </w:p>
    <w:p w14:paraId="52BA5A4A" w14:textId="019857C2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2024r. Rzecznik przeprowadził w tradycyjnej formie zajęcia edukacyjne w 4 szkołach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Sosnowcu w Technikum Transportowym, Samochodowym, </w:t>
      </w:r>
      <w:proofErr w:type="spellStart"/>
      <w:r w:rsidRPr="009B3C1B">
        <w:rPr>
          <w:rFonts w:ascii="Arial" w:hAnsi="Arial" w:cs="Arial"/>
        </w:rPr>
        <w:t>Archtektoniczno</w:t>
      </w:r>
      <w:proofErr w:type="spellEnd"/>
      <w:r w:rsidRPr="009B3C1B">
        <w:rPr>
          <w:rFonts w:ascii="Arial" w:hAnsi="Arial" w:cs="Arial"/>
        </w:rPr>
        <w:t xml:space="preserve">- Budowlanym oraz w Liceum dla Dorosłych. Zajęcia z Rzecznikiem w technikach cieszą się co roku bardzo dużym zainteresowaniem i w młodzież chętnie i interaktywnie bierze  udział w omawianiu zagadnień dot. praw konsumenckich zwłaszcza w ich praktycznym aspekcie, który właśnie Rzecznik jest w stanie przekazać, inaczej niż nauczyciel, który najczęściej bazuje na wiedzy teoretycznej. </w:t>
      </w:r>
    </w:p>
    <w:p w14:paraId="5226B767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Podobnie jak w roku 2023 także w 2024 na prośbę studentów z Uniwersytetu Ekonomicznego w Katowicach Rzecznik przygotował materiał do prezentacji, w której na przykładzie prowadzonej sprawy należało pokazać opis stanu faktycznego, działania rzecznika, stan prawny, naruszenia przedsiębiorcy oraz zalecenia i rekomendacje dla konsumentów, aby ustrzec się podobnych naruszeń oraz gdzie zdobywać informacje o prawach konsumenta.</w:t>
      </w:r>
    </w:p>
    <w:p w14:paraId="007EA18E" w14:textId="77777777" w:rsidR="009A3D1C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W 2024r. Rzecznik opracował prezentację oraz komentarz do prezentacji „ Konsument i jego prawa” i przesłał do wszystkich sosnowieckich szkół ponadpodstawowych jako materiał edukacyjny dla nauczycieli i uczniów do wykorzystania w trakcie zajęć.</w:t>
      </w:r>
    </w:p>
    <w:p w14:paraId="3256C130" w14:textId="3A109411" w:rsidR="00E25731" w:rsidRPr="009B3C1B" w:rsidRDefault="009A3D1C" w:rsidP="009B3C1B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Edukacja seniorów</w:t>
      </w:r>
      <w:r w:rsidR="00E25731" w:rsidRPr="009B3C1B">
        <w:rPr>
          <w:rFonts w:ascii="Arial" w:hAnsi="Arial" w:cs="Arial"/>
          <w:b/>
          <w:bCs/>
        </w:rPr>
        <w:t xml:space="preserve"> </w:t>
      </w:r>
    </w:p>
    <w:p w14:paraId="453E0EF3" w14:textId="1A692A0D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Rzecznik Konsumentów kierując się bardzo dobrymi doświadczeniami ze współpracy z Policją w zakresie edukacji konsumenckiej w  2024r. zwrócił się do Centralnego Biura Zwalczania Cyberprzestępczości z propozycją uczestnictwa przedstawicieli Policji w spotkaniu z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sosnowieckimi seniorami dotyczącym </w:t>
      </w:r>
      <w:proofErr w:type="spellStart"/>
      <w:r w:rsidRPr="009B3C1B">
        <w:rPr>
          <w:rFonts w:ascii="Arial" w:hAnsi="Arial" w:cs="Arial"/>
        </w:rPr>
        <w:t>cyberbezpieczeństwa</w:t>
      </w:r>
      <w:proofErr w:type="spellEnd"/>
      <w:r w:rsidRPr="009B3C1B">
        <w:rPr>
          <w:rFonts w:ascii="Arial" w:hAnsi="Arial" w:cs="Arial"/>
        </w:rPr>
        <w:t xml:space="preserve"> organizowanym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Zagłębiowskiej </w:t>
      </w:r>
      <w:proofErr w:type="spellStart"/>
      <w:r w:rsidRPr="009B3C1B">
        <w:rPr>
          <w:rFonts w:ascii="Arial" w:hAnsi="Arial" w:cs="Arial"/>
        </w:rPr>
        <w:t>Mediatece</w:t>
      </w:r>
      <w:proofErr w:type="spellEnd"/>
      <w:r w:rsidRPr="009B3C1B">
        <w:rPr>
          <w:rFonts w:ascii="Arial" w:hAnsi="Arial" w:cs="Arial"/>
        </w:rPr>
        <w:t xml:space="preserve"> przy okazji Światowego Dnia Konsumenta. Propozycja spotkała się z akceptacją i w dniu 15.03.2024r. odbyło się spotkanie z udziałem eksperta CBZC i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 xml:space="preserve">rzecznika.  </w:t>
      </w:r>
    </w:p>
    <w:p w14:paraId="78D0692C" w14:textId="5287BF3C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 W 2024r. Rzecznik kontynuował współpracę z  Wydziałem Polityki Społecznej UM celem upowszechnienia wśród seniorów informacji o webinariach edukacyjnych dla seniorów i ich opiekunów realizowanych przez Urząd Komisji Nadzoru Finansowego oraz zamieszczał na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swojej stronie informacje o wydarzeniach edukacyjnych:</w:t>
      </w:r>
    </w:p>
    <w:p w14:paraId="6E5FC893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 „Na co uważać i jak nie dać się oszukać w Internecie – bankowość elektroniczna dla seniorów I edycja” 24.04.2024r. </w:t>
      </w:r>
    </w:p>
    <w:p w14:paraId="6B9E9886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„Na co uważać i jak nie dać się oszukać w Internecie – bankowość elektroniczna dla seniorów II edycja” 18.06.2024r.</w:t>
      </w:r>
    </w:p>
    <w:p w14:paraId="3E4E46E3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„Na co uważać i jak nie dać się oszukać w Internecie – bankowość elektroniczna dla seniorów III edycja” 11.09.2024r.</w:t>
      </w:r>
    </w:p>
    <w:p w14:paraId="5C025631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 „Jak samodzielnie weryfikować oferty inwestycyjne. Okazja czy oszustwo – sprawdź zanim podejmiesz decyzję inwestycyjną” 20.09.2024r. </w:t>
      </w:r>
    </w:p>
    <w:p w14:paraId="60B18CEF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„Oszukańcze Inwestycje – jak się przed nimi ustrzec i co zrobić gdy padniemy ofiarą przestępców” 18.11.2024r. </w:t>
      </w:r>
    </w:p>
    <w:p w14:paraId="7E45F402" w14:textId="544772E8" w:rsidR="009A3D1C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Rzecznik wziął także udział w  Dniach Seniora w Sali Widowiskowo – Koncertowej Muza przekazał materiały edukacyjne dot. reklamacji konsumenckich oraz </w:t>
      </w:r>
      <w:proofErr w:type="spellStart"/>
      <w:r w:rsidRPr="009B3C1B">
        <w:rPr>
          <w:rFonts w:ascii="Arial" w:hAnsi="Arial" w:cs="Arial"/>
        </w:rPr>
        <w:t>cyberbezpieczeństwa</w:t>
      </w:r>
      <w:proofErr w:type="spellEnd"/>
      <w:r w:rsidRPr="009B3C1B">
        <w:rPr>
          <w:rFonts w:ascii="Arial" w:hAnsi="Arial" w:cs="Arial"/>
        </w:rPr>
        <w:t xml:space="preserve">. </w:t>
      </w:r>
    </w:p>
    <w:p w14:paraId="3C6C62A8" w14:textId="77777777" w:rsidR="009A3D1C" w:rsidRDefault="009A3D1C" w:rsidP="009B3C1B">
      <w:pPr>
        <w:spacing w:line="240" w:lineRule="auto"/>
        <w:jc w:val="both"/>
        <w:rPr>
          <w:rFonts w:ascii="Arial" w:hAnsi="Arial" w:cs="Arial"/>
        </w:rPr>
      </w:pPr>
    </w:p>
    <w:p w14:paraId="47EDF027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68E0F3F1" w14:textId="77777777" w:rsidR="005847F0" w:rsidRPr="009B3C1B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2D7903E4" w14:textId="34B61AFA" w:rsidR="00E25731" w:rsidRPr="009B3C1B" w:rsidRDefault="00B4664B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lastRenderedPageBreak/>
        <w:t>VI</w:t>
      </w:r>
      <w:r w:rsidR="00E25731" w:rsidRPr="009B3C1B">
        <w:rPr>
          <w:rFonts w:ascii="Arial" w:hAnsi="Arial" w:cs="Arial"/>
          <w:b/>
          <w:bCs/>
        </w:rPr>
        <w:t>.</w:t>
      </w:r>
      <w:r w:rsidRPr="009B3C1B">
        <w:rPr>
          <w:rFonts w:ascii="Arial" w:hAnsi="Arial" w:cs="Arial"/>
          <w:b/>
          <w:bCs/>
        </w:rPr>
        <w:t xml:space="preserve"> </w:t>
      </w:r>
      <w:r w:rsidR="00E25731" w:rsidRPr="009B3C1B">
        <w:rPr>
          <w:rFonts w:ascii="Arial" w:hAnsi="Arial" w:cs="Arial"/>
          <w:b/>
          <w:bCs/>
        </w:rPr>
        <w:t>Podejmowanie działań w zakresie niedozwolonych postanowień umownych, ustawy o</w:t>
      </w:r>
      <w:r w:rsidR="002A26B3" w:rsidRPr="009B3C1B">
        <w:rPr>
          <w:rFonts w:ascii="Arial" w:hAnsi="Arial" w:cs="Arial"/>
          <w:b/>
          <w:bCs/>
        </w:rPr>
        <w:t> </w:t>
      </w:r>
      <w:r w:rsidR="00E25731" w:rsidRPr="009B3C1B">
        <w:rPr>
          <w:rFonts w:ascii="Arial" w:hAnsi="Arial" w:cs="Arial"/>
          <w:b/>
          <w:bCs/>
        </w:rPr>
        <w:t xml:space="preserve">przeciwdziałaniu nieuczciwym praktykom rynkowym, ustawy o dochodzeniu roszczeń w postępowaniu grupowym, występowania w sprawach o wykroczenia na szkodę konsumentów, przedstawiania sądowi istotnego poglądu dla sprawy. </w:t>
      </w:r>
    </w:p>
    <w:p w14:paraId="2B4AE0BC" w14:textId="75038F34" w:rsidR="00DC2AEB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>Rzecznik na bieżąco rozpatrując wnioski konsumentów składane w indywidualnych sprawach, podejmuje działania w formie wezwań przedsiębiorców do wyeliminowania niedozwolonych zapisów w umowach czy też innych stosowanych wzorcach umownych oraz zaniechania stosowania nieuczciwych praktyk rynkowych. W większości przedsiębiorcy stosują się do wezwań Rzecznika. W latach 2023/2024 również zachodziły podstawy do interwencji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sprawach, w których zachowania przedsiębiorców odnosiły się do szerszego kręgu konsumentów, a polegały na stosowaniu niedozwolonych czy niejasnych postanowień w</w:t>
      </w:r>
      <w:r w:rsidR="002A26B3" w:rsidRPr="009B3C1B">
        <w:rPr>
          <w:rFonts w:ascii="Arial" w:hAnsi="Arial" w:cs="Arial"/>
        </w:rPr>
        <w:t> </w:t>
      </w:r>
      <w:r w:rsidRPr="009B3C1B">
        <w:rPr>
          <w:rFonts w:ascii="Arial" w:hAnsi="Arial" w:cs="Arial"/>
        </w:rPr>
        <w:t>umowach czy regulaminach, a także wprowadzania konsumentów w błąd zarówno poprzez działanie - przekazywanie błędnych informacji jak i zaniechanie udzielania obowiązkowych informacji, w tym o przysługujących prawach. Najczęściej spotykane nieprawidłowości dotyczą stosowanych przez przedsiębiorców regulaminów.</w:t>
      </w:r>
    </w:p>
    <w:p w14:paraId="70BD0FC9" w14:textId="77777777" w:rsidR="00DC2AEB" w:rsidRPr="009B3C1B" w:rsidRDefault="00DC2AEB" w:rsidP="009B3C1B">
      <w:pPr>
        <w:spacing w:line="240" w:lineRule="auto"/>
        <w:jc w:val="both"/>
        <w:rPr>
          <w:rFonts w:ascii="Arial" w:hAnsi="Arial" w:cs="Arial"/>
        </w:rPr>
      </w:pPr>
    </w:p>
    <w:p w14:paraId="3B4460DE" w14:textId="4A332E57" w:rsidR="00E25731" w:rsidRPr="009B3C1B" w:rsidRDefault="00B4664B" w:rsidP="009B3C1B">
      <w:pPr>
        <w:spacing w:line="240" w:lineRule="auto"/>
        <w:jc w:val="both"/>
        <w:rPr>
          <w:rFonts w:ascii="Arial" w:hAnsi="Arial" w:cs="Arial"/>
          <w:b/>
          <w:bCs/>
        </w:rPr>
      </w:pPr>
      <w:r w:rsidRPr="009B3C1B">
        <w:rPr>
          <w:rFonts w:ascii="Arial" w:hAnsi="Arial" w:cs="Arial"/>
          <w:b/>
          <w:bCs/>
        </w:rPr>
        <w:t>VII</w:t>
      </w:r>
      <w:r w:rsidR="00E25731" w:rsidRPr="009B3C1B">
        <w:rPr>
          <w:rFonts w:ascii="Arial" w:hAnsi="Arial" w:cs="Arial"/>
          <w:b/>
          <w:bCs/>
        </w:rPr>
        <w:t>. Praca w Krajowej Radzie Rzeczników Konsumentów:</w:t>
      </w:r>
    </w:p>
    <w:p w14:paraId="4944F040" w14:textId="77777777" w:rsidR="00E25731" w:rsidRPr="009B3C1B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Od roku 2013 Rzecznik uczestniczy w posiedzeniach Krajowej Rady Rzeczników Konsumentów na zaproszenie Prezesa UOKIK. Od roku 2016 Rzecznik jest członkiem Krajowej Rady Rzeczników Konsumentów. W latach 2016 – 2018 pełnił funkcję sekretarza KRRK. Obecnie pełni funkcję wiceprzewodniczącej KRRK. Po zmianie procedury wyznaczania na członka rady w 2018r. od 15.01.2020r. skład Rady został poszerzony do 16 – tu członków zgodnie z ilością województw, w związku z tym Rzecznik reprezentuje teren województwa śląskiego. Pełniąc funkcję członka Rady Rzecznik pozostaje w stałym kontakcie z rzecznikami z regionu zarówno z własnej inicjatywy, jak i rzeczników w terenie. W roku 2023r. prezes UOKiK jeden raz zwołał posiedzenie Rady. W roku 2024 zaplanowane i zwołane posiedzenie nie odbyło się z uwagi na inne obowiązki </w:t>
      </w:r>
      <w:proofErr w:type="spellStart"/>
      <w:r w:rsidRPr="009B3C1B">
        <w:rPr>
          <w:rFonts w:ascii="Arial" w:hAnsi="Arial" w:cs="Arial"/>
        </w:rPr>
        <w:t>Przesa</w:t>
      </w:r>
      <w:proofErr w:type="spellEnd"/>
      <w:r w:rsidRPr="009B3C1B">
        <w:rPr>
          <w:rFonts w:ascii="Arial" w:hAnsi="Arial" w:cs="Arial"/>
        </w:rPr>
        <w:t xml:space="preserve"> UOKiK. Niezależnie od posiedzeń wyznaczanych przez Prezesa UOKiK Rada stale prowadzi aktywność dotyczącą bieżących spraw konsumenckich oraz planowanych zmian legislacyjnych. Rzecznik pozostaje w stałym kontakcie w rzecznikami z woj. śląskiego. W 2023r. zorganizował spotkanie robocze dla rzeczników  z woj. śląskiego, a także szkolenie dla rzeczników i pracowników biur rzeczników z zakresu nowo wprowadzonych przepisów dot. treści cyfrowych. W 2024 rzecznik koordynował organizację ogólnopolskiego szkolenia dla rzeczników przeprowadzonego przez PZU, a także udział rzeczników z woj. śląskiego w organizowanym na Uniwersytecie Ekonomicznym w Katowicach „ Dniu Rzecznika Finansowego” oraz „Światowego Dnia Konsumenta”.</w:t>
      </w:r>
    </w:p>
    <w:p w14:paraId="74C1ABA7" w14:textId="77777777" w:rsidR="00E25731" w:rsidRDefault="00E25731" w:rsidP="009B3C1B">
      <w:pPr>
        <w:spacing w:line="240" w:lineRule="auto"/>
        <w:jc w:val="both"/>
        <w:rPr>
          <w:rFonts w:ascii="Arial" w:hAnsi="Arial" w:cs="Arial"/>
        </w:rPr>
      </w:pPr>
      <w:r w:rsidRPr="009B3C1B">
        <w:rPr>
          <w:rFonts w:ascii="Arial" w:hAnsi="Arial" w:cs="Arial"/>
        </w:rPr>
        <w:t xml:space="preserve">Rzecznik zorganizował także spotkanie edukacyjne dla rzeczników z woj. śląskiego z udziałem przedstawicieli Urzędu Komunikacji Elektronicznej z zakresu </w:t>
      </w:r>
      <w:proofErr w:type="spellStart"/>
      <w:r w:rsidRPr="009B3C1B">
        <w:rPr>
          <w:rFonts w:ascii="Arial" w:hAnsi="Arial" w:cs="Arial"/>
        </w:rPr>
        <w:t>cyberbezpieczeństwa</w:t>
      </w:r>
      <w:proofErr w:type="spellEnd"/>
      <w:r w:rsidRPr="009B3C1B">
        <w:rPr>
          <w:rFonts w:ascii="Arial" w:hAnsi="Arial" w:cs="Arial"/>
        </w:rPr>
        <w:t xml:space="preserve">, w którym wzięli udział także przedstawiciele Rzecznika </w:t>
      </w:r>
      <w:proofErr w:type="spellStart"/>
      <w:r w:rsidRPr="009B3C1B">
        <w:rPr>
          <w:rFonts w:ascii="Arial" w:hAnsi="Arial" w:cs="Arial"/>
        </w:rPr>
        <w:t>Fiansowego</w:t>
      </w:r>
      <w:proofErr w:type="spellEnd"/>
      <w:r w:rsidRPr="009B3C1B">
        <w:rPr>
          <w:rFonts w:ascii="Arial" w:hAnsi="Arial" w:cs="Arial"/>
        </w:rPr>
        <w:t xml:space="preserve"> w zakresie problemów i aktualnych zagadnień z rynku finansowego oraz przedstawiciele UOKiK.  </w:t>
      </w:r>
    </w:p>
    <w:p w14:paraId="7E947A72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73E6FDEE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020D48E2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08DE20C9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2A5F929C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18015B0D" w14:textId="77777777" w:rsidR="005847F0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5CB9FB22" w14:textId="77777777" w:rsidR="005847F0" w:rsidRPr="009B3C1B" w:rsidRDefault="005847F0" w:rsidP="009B3C1B">
      <w:pPr>
        <w:spacing w:line="240" w:lineRule="auto"/>
        <w:jc w:val="both"/>
        <w:rPr>
          <w:rFonts w:ascii="Arial" w:hAnsi="Arial" w:cs="Arial"/>
        </w:rPr>
      </w:pPr>
    </w:p>
    <w:p w14:paraId="44E30ECB" w14:textId="77777777" w:rsidR="00E25731" w:rsidRPr="00B4664B" w:rsidRDefault="00E25731" w:rsidP="004865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B5597" w14:textId="77777777" w:rsidR="00E25731" w:rsidRDefault="00E25731" w:rsidP="004865FF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664B">
        <w:rPr>
          <w:rFonts w:ascii="Times New Roman" w:hAnsi="Times New Roman" w:cs="Times New Roman"/>
          <w:b/>
          <w:bCs/>
          <w:sz w:val="24"/>
          <w:szCs w:val="24"/>
        </w:rPr>
        <w:t>Podsumowanie w grafice:</w:t>
      </w:r>
    </w:p>
    <w:p w14:paraId="7F5C8018" w14:textId="742B5F67" w:rsidR="003F5108" w:rsidRPr="00B4664B" w:rsidRDefault="003F5108" w:rsidP="003F510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EF7E38F" wp14:editId="058EB57D">
            <wp:extent cx="5581015" cy="3291840"/>
            <wp:effectExtent l="0" t="0" r="635" b="3810"/>
            <wp:docPr id="214741814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3EDDEB1-D7C1-3CCD-5469-A9B9B60C23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944281" w14:textId="77777777" w:rsidR="00992A1E" w:rsidRDefault="005A2692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F95D753" wp14:editId="7466A0CB">
            <wp:extent cx="5486400" cy="3672231"/>
            <wp:effectExtent l="0" t="0" r="0" b="4445"/>
            <wp:docPr id="2006742385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ABC5675-3DA4-9483-BBA0-59011683D8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61FD8CC" w14:textId="70BA1A6A" w:rsidR="00E25731" w:rsidRDefault="00992A1E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0A8B29E9" wp14:editId="28D6533C">
            <wp:extent cx="5427878" cy="3394252"/>
            <wp:effectExtent l="0" t="0" r="1905" b="15875"/>
            <wp:docPr id="35959745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BF2C7479-7339-E674-4411-29EC151BAB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156554" w14:textId="6AE7AB3D" w:rsidR="00E075B3" w:rsidRDefault="00E075B3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4A137D3" wp14:editId="4143F0ED">
            <wp:extent cx="5450129" cy="3590417"/>
            <wp:effectExtent l="0" t="0" r="17780" b="10160"/>
            <wp:docPr id="58761104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6D5383BF-7BBF-1C6A-0469-5B838AAFFB9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875B4A0" w14:textId="69977C9C" w:rsidR="001C437A" w:rsidRDefault="001C437A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73946B5F" wp14:editId="667E7C8D">
            <wp:extent cx="5438775" cy="3376613"/>
            <wp:effectExtent l="0" t="0" r="9525" b="14605"/>
            <wp:docPr id="194421505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3D5F863-3F7D-0738-897A-A9F9D211C6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53AB35A" w14:textId="4CFB46B5" w:rsidR="00D322A4" w:rsidRDefault="00D322A4" w:rsidP="005A2692">
      <w:pPr>
        <w:spacing w:line="240" w:lineRule="auto"/>
        <w:jc w:val="center"/>
        <w:rPr>
          <w:rFonts w:ascii="Arial" w:hAnsi="Arial" w:cs="Arial"/>
        </w:rPr>
      </w:pPr>
    </w:p>
    <w:p w14:paraId="4155324D" w14:textId="65E43B30" w:rsidR="00D322A4" w:rsidRDefault="00D322A4" w:rsidP="005A2692">
      <w:pPr>
        <w:spacing w:line="240" w:lineRule="auto"/>
        <w:jc w:val="center"/>
        <w:rPr>
          <w:rFonts w:ascii="Arial" w:hAnsi="Arial" w:cs="Arial"/>
        </w:rPr>
      </w:pPr>
    </w:p>
    <w:p w14:paraId="167A19AD" w14:textId="3DCA44F5" w:rsidR="00F939F9" w:rsidRDefault="00F939F9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C451BC" wp14:editId="7530D23E">
            <wp:extent cx="5419724" cy="3376613"/>
            <wp:effectExtent l="0" t="0" r="10160" b="14605"/>
            <wp:docPr id="198352976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E019C11B-409F-C1C2-4179-7E1A90DBEAB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4B55EED" w14:textId="7B71CA06" w:rsidR="00877638" w:rsidRDefault="00877638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76050FF" wp14:editId="643C37AD">
            <wp:extent cx="5383987" cy="3321101"/>
            <wp:effectExtent l="0" t="0" r="7620" b="12700"/>
            <wp:docPr id="182731997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2367F7D-501C-1615-E4C8-29867A79F9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F7E01B4" w14:textId="77777777" w:rsidR="005756B4" w:rsidRDefault="005756B4" w:rsidP="005A2692">
      <w:pPr>
        <w:spacing w:line="240" w:lineRule="auto"/>
        <w:jc w:val="center"/>
        <w:rPr>
          <w:rFonts w:ascii="Arial" w:hAnsi="Arial" w:cs="Arial"/>
        </w:rPr>
      </w:pPr>
    </w:p>
    <w:p w14:paraId="2687CDA9" w14:textId="77777777" w:rsidR="005756B4" w:rsidRDefault="00893C1A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187CF5C" wp14:editId="6CFE9207">
            <wp:extent cx="5695950" cy="3514725"/>
            <wp:effectExtent l="0" t="0" r="0" b="9525"/>
            <wp:docPr id="274007964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53D2A2E3-FA6A-CA3A-D0B5-D52072FEE4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8F7B955" w14:textId="6D927462" w:rsidR="00893C1A" w:rsidRDefault="005756B4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5CA0E32D" wp14:editId="7D34F9F8">
            <wp:extent cx="5743576" cy="3490914"/>
            <wp:effectExtent l="0" t="0" r="9525" b="14605"/>
            <wp:docPr id="88104798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1EDC076E-4845-8423-6644-B2F964EA8E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E4DA2D7" w14:textId="6E1E6E3E" w:rsidR="00D9543B" w:rsidRDefault="00D9543B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781F9C" wp14:editId="3B616A7B">
            <wp:extent cx="5686425" cy="3538538"/>
            <wp:effectExtent l="0" t="0" r="9525" b="5080"/>
            <wp:docPr id="1667495633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968D3BBF-8549-6584-E04B-6E4358B061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C5260B4" w14:textId="5C6900DD" w:rsidR="00407433" w:rsidRDefault="00407433" w:rsidP="005A2692">
      <w:pPr>
        <w:spacing w:line="240" w:lineRule="auto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5B6FB18" wp14:editId="0AAB468E">
            <wp:extent cx="5449824" cy="3079496"/>
            <wp:effectExtent l="0" t="0" r="17780" b="6985"/>
            <wp:docPr id="568135259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268FF3C-86F8-EB4D-E664-2DBEE851D0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CA14CF">
        <w:rPr>
          <w:noProof/>
        </w:rPr>
        <w:drawing>
          <wp:inline distT="0" distB="0" distL="0" distR="0" wp14:anchorId="43530A8F" wp14:editId="2A336AAF">
            <wp:extent cx="5449570" cy="3079115"/>
            <wp:effectExtent l="0" t="0" r="17780" b="6985"/>
            <wp:docPr id="160658265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268FF3C-86F8-EB4D-E664-2DBEE851D0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bookmarkEnd w:id="2"/>
    <w:p w14:paraId="3F77B5A6" w14:textId="11525FA6" w:rsidR="00407433" w:rsidRPr="004865FF" w:rsidRDefault="00407433" w:rsidP="005A2692">
      <w:pPr>
        <w:spacing w:line="240" w:lineRule="auto"/>
        <w:jc w:val="center"/>
        <w:rPr>
          <w:rFonts w:ascii="Arial" w:hAnsi="Arial" w:cs="Arial"/>
        </w:rPr>
      </w:pPr>
    </w:p>
    <w:sectPr w:rsidR="00407433" w:rsidRPr="004865FF" w:rsidSect="00241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22FDE" w14:textId="77777777" w:rsidR="00EC3077" w:rsidRDefault="00EC3077" w:rsidP="004865FF">
      <w:pPr>
        <w:spacing w:after="0" w:line="240" w:lineRule="auto"/>
      </w:pPr>
      <w:r>
        <w:separator/>
      </w:r>
    </w:p>
  </w:endnote>
  <w:endnote w:type="continuationSeparator" w:id="0">
    <w:p w14:paraId="24BA36BD" w14:textId="77777777" w:rsidR="00EC3077" w:rsidRDefault="00EC3077" w:rsidP="004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7DD32" w14:textId="77777777" w:rsidR="00EC3077" w:rsidRDefault="00EC3077" w:rsidP="004865FF">
      <w:pPr>
        <w:spacing w:after="0" w:line="240" w:lineRule="auto"/>
      </w:pPr>
      <w:r>
        <w:separator/>
      </w:r>
    </w:p>
  </w:footnote>
  <w:footnote w:type="continuationSeparator" w:id="0">
    <w:p w14:paraId="5AC4AF07" w14:textId="77777777" w:rsidR="00EC3077" w:rsidRDefault="00EC3077" w:rsidP="00486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459DF"/>
    <w:multiLevelType w:val="hybridMultilevel"/>
    <w:tmpl w:val="04C45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502EC"/>
    <w:multiLevelType w:val="hybridMultilevel"/>
    <w:tmpl w:val="98F687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2BDA"/>
    <w:multiLevelType w:val="hybridMultilevel"/>
    <w:tmpl w:val="BC6E757E"/>
    <w:lvl w:ilvl="0" w:tplc="8FE48E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9340CC"/>
    <w:multiLevelType w:val="hybridMultilevel"/>
    <w:tmpl w:val="6226B3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14ADF"/>
    <w:multiLevelType w:val="hybridMultilevel"/>
    <w:tmpl w:val="D116E0FE"/>
    <w:lvl w:ilvl="0" w:tplc="270A1C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7F5B54"/>
    <w:multiLevelType w:val="hybridMultilevel"/>
    <w:tmpl w:val="F76A5398"/>
    <w:lvl w:ilvl="0" w:tplc="2C36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00598"/>
    <w:multiLevelType w:val="hybridMultilevel"/>
    <w:tmpl w:val="485C6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982082">
    <w:abstractNumId w:val="6"/>
  </w:num>
  <w:num w:numId="2" w16cid:durableId="1764565987">
    <w:abstractNumId w:val="0"/>
  </w:num>
  <w:num w:numId="3" w16cid:durableId="966819446">
    <w:abstractNumId w:val="2"/>
  </w:num>
  <w:num w:numId="4" w16cid:durableId="2093549259">
    <w:abstractNumId w:val="1"/>
  </w:num>
  <w:num w:numId="5" w16cid:durableId="2069649664">
    <w:abstractNumId w:val="4"/>
  </w:num>
  <w:num w:numId="6" w16cid:durableId="408768731">
    <w:abstractNumId w:val="5"/>
  </w:num>
  <w:num w:numId="7" w16cid:durableId="67187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B9"/>
    <w:rsid w:val="0000321D"/>
    <w:rsid w:val="000063D2"/>
    <w:rsid w:val="00060A17"/>
    <w:rsid w:val="000665C8"/>
    <w:rsid w:val="0009512C"/>
    <w:rsid w:val="00140ACE"/>
    <w:rsid w:val="001C437A"/>
    <w:rsid w:val="001E70FB"/>
    <w:rsid w:val="00241A1E"/>
    <w:rsid w:val="00294803"/>
    <w:rsid w:val="002A26B3"/>
    <w:rsid w:val="002E19CC"/>
    <w:rsid w:val="003113A7"/>
    <w:rsid w:val="003A40A6"/>
    <w:rsid w:val="003B0A70"/>
    <w:rsid w:val="003B7B4C"/>
    <w:rsid w:val="003F5108"/>
    <w:rsid w:val="00407433"/>
    <w:rsid w:val="004865FF"/>
    <w:rsid w:val="005452B6"/>
    <w:rsid w:val="00571497"/>
    <w:rsid w:val="005756B4"/>
    <w:rsid w:val="005847F0"/>
    <w:rsid w:val="005A144D"/>
    <w:rsid w:val="005A2692"/>
    <w:rsid w:val="00624D13"/>
    <w:rsid w:val="00653A28"/>
    <w:rsid w:val="00692478"/>
    <w:rsid w:val="006C4EDF"/>
    <w:rsid w:val="006E5AF4"/>
    <w:rsid w:val="006F1239"/>
    <w:rsid w:val="006F5D62"/>
    <w:rsid w:val="007B53E2"/>
    <w:rsid w:val="007E5B22"/>
    <w:rsid w:val="007F3183"/>
    <w:rsid w:val="00810B67"/>
    <w:rsid w:val="008352B1"/>
    <w:rsid w:val="008533BB"/>
    <w:rsid w:val="008615DC"/>
    <w:rsid w:val="00870206"/>
    <w:rsid w:val="00877638"/>
    <w:rsid w:val="00893C1A"/>
    <w:rsid w:val="008D2217"/>
    <w:rsid w:val="008D730C"/>
    <w:rsid w:val="008E4B43"/>
    <w:rsid w:val="0092245D"/>
    <w:rsid w:val="00931B97"/>
    <w:rsid w:val="00946C85"/>
    <w:rsid w:val="009627DF"/>
    <w:rsid w:val="00992A1E"/>
    <w:rsid w:val="009A3D1C"/>
    <w:rsid w:val="009B3C1B"/>
    <w:rsid w:val="00A4691E"/>
    <w:rsid w:val="00AB5FB9"/>
    <w:rsid w:val="00AF64BA"/>
    <w:rsid w:val="00B2692E"/>
    <w:rsid w:val="00B4664B"/>
    <w:rsid w:val="00B5353F"/>
    <w:rsid w:val="00B844B4"/>
    <w:rsid w:val="00BF6145"/>
    <w:rsid w:val="00C7252E"/>
    <w:rsid w:val="00CA14CF"/>
    <w:rsid w:val="00CF46BE"/>
    <w:rsid w:val="00CF529D"/>
    <w:rsid w:val="00D13374"/>
    <w:rsid w:val="00D322A4"/>
    <w:rsid w:val="00D9543B"/>
    <w:rsid w:val="00DB7F28"/>
    <w:rsid w:val="00DC2AEB"/>
    <w:rsid w:val="00E075B3"/>
    <w:rsid w:val="00E25731"/>
    <w:rsid w:val="00E32A85"/>
    <w:rsid w:val="00E643FE"/>
    <w:rsid w:val="00E85BC4"/>
    <w:rsid w:val="00EC3077"/>
    <w:rsid w:val="00EF7B9A"/>
    <w:rsid w:val="00F178FE"/>
    <w:rsid w:val="00F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3517"/>
  <w15:chartTrackingRefBased/>
  <w15:docId w15:val="{8263D348-8866-4293-BEC9-475F6233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8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5FF"/>
  </w:style>
  <w:style w:type="paragraph" w:styleId="Stopka">
    <w:name w:val="footer"/>
    <w:basedOn w:val="Normalny"/>
    <w:link w:val="StopkaZnak"/>
    <w:uiPriority w:val="99"/>
    <w:unhideWhenUsed/>
    <w:rsid w:val="00486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swiatek\Desktop\DZIA&#321;ALNO&#346;&#262;%20MRK%202023-2024\statystyki%202023-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swiatek\Desktop\DZIA&#321;ALNO&#346;&#262;%20MRK%202023-2024\statystyki%202023-2024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DZIA&#321;ALNO&#346;&#262;%20MRK%202023-2024\statystyki%202023-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/>
              <a:t>porady i informacje w zakresie ochrony praw konsumentów 2023-2024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Arkusz1!$E$8</c:f>
              <c:strCache>
                <c:ptCount val="1"/>
                <c:pt idx="0">
                  <c:v>porady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Arkusz1!$F$7:$G$7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Arkusz1!$F$8:$G$8</c:f>
              <c:numCache>
                <c:formatCode>General</c:formatCode>
                <c:ptCount val="2"/>
                <c:pt idx="0">
                  <c:v>2195</c:v>
                </c:pt>
                <c:pt idx="1">
                  <c:v>2371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0A-4148-BE89-DE5A638C3341}"/>
            </c:ext>
          </c:extLst>
        </c:ser>
        <c:ser>
          <c:idx val="1"/>
          <c:order val="1"/>
          <c:tx>
            <c:strRef>
              <c:f>Arkusz1!$E$9</c:f>
              <c:strCache>
                <c:ptCount val="1"/>
                <c:pt idx="0">
                  <c:v>informacje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Arkusz1!$F$7:$G$7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Arkusz1!$F$9:$G$9</c:f>
              <c:numCache>
                <c:formatCode>General</c:formatCode>
                <c:ptCount val="2"/>
                <c:pt idx="0">
                  <c:v>2654</c:v>
                </c:pt>
                <c:pt idx="1">
                  <c:v>3421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0A-4148-BE89-DE5A638C334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100"/>
        <c:axId val="1812599295"/>
        <c:axId val="1812620415"/>
      </c:barChart>
      <c:catAx>
        <c:axId val="18125992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12620415"/>
        <c:crosses val="autoZero"/>
        <c:auto val="1"/>
        <c:lblAlgn val="ctr"/>
        <c:lblOffset val="100"/>
        <c:noMultiLvlLbl val="0"/>
      </c:catAx>
      <c:valAx>
        <c:axId val="1812620415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125992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wystąpienia w zakresie usług 2019-2024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Arkusz2!$D$140</c:f>
              <c:strCache>
                <c:ptCount val="1"/>
                <c:pt idx="0">
                  <c:v>2024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Arkusz2!$I$139:$M$139</c:f>
              <c:strCache>
                <c:ptCount val="5"/>
                <c:pt idx="0">
                  <c:v>telekomunikacyjne</c:v>
                </c:pt>
                <c:pt idx="1">
                  <c:v>turystyka i rekreacja</c:v>
                </c:pt>
                <c:pt idx="2">
                  <c:v>sektor energetyczny i wodny</c:v>
                </c:pt>
                <c:pt idx="3">
                  <c:v>bieżąca konserweacja, utrzymanie domu, drobne naprawy, pielęgnacja</c:v>
                </c:pt>
                <c:pt idx="4">
                  <c:v>transportowe</c:v>
                </c:pt>
              </c:strCache>
            </c:strRef>
          </c:cat>
          <c:val>
            <c:numRef>
              <c:f>Arkusz2!$I$140:$M$140</c:f>
              <c:numCache>
                <c:formatCode>General</c:formatCode>
                <c:ptCount val="5"/>
                <c:pt idx="0">
                  <c:v>30</c:v>
                </c:pt>
                <c:pt idx="1">
                  <c:v>28</c:v>
                </c:pt>
                <c:pt idx="2">
                  <c:v>5</c:v>
                </c:pt>
                <c:pt idx="3">
                  <c:v>13</c:v>
                </c:pt>
                <c:pt idx="4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3A-4AD1-97E9-599799683A58}"/>
            </c:ext>
          </c:extLst>
        </c:ser>
        <c:ser>
          <c:idx val="1"/>
          <c:order val="1"/>
          <c:tx>
            <c:strRef>
              <c:f>Arkusz2!$D$141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Arkusz2!$I$139:$M$139</c:f>
              <c:strCache>
                <c:ptCount val="5"/>
                <c:pt idx="0">
                  <c:v>telekomunikacyjne</c:v>
                </c:pt>
                <c:pt idx="1">
                  <c:v>turystyka i rekreacja</c:v>
                </c:pt>
                <c:pt idx="2">
                  <c:v>sektor energetyczny i wodny</c:v>
                </c:pt>
                <c:pt idx="3">
                  <c:v>bieżąca konserweacja, utrzymanie domu, drobne naprawy, pielęgnacja</c:v>
                </c:pt>
                <c:pt idx="4">
                  <c:v>transportowe</c:v>
                </c:pt>
              </c:strCache>
            </c:strRef>
          </c:cat>
          <c:val>
            <c:numRef>
              <c:f>Arkusz2!$I$141:$M$141</c:f>
              <c:numCache>
                <c:formatCode>General</c:formatCode>
                <c:ptCount val="5"/>
                <c:pt idx="0">
                  <c:v>19</c:v>
                </c:pt>
                <c:pt idx="1">
                  <c:v>16</c:v>
                </c:pt>
                <c:pt idx="2">
                  <c:v>13</c:v>
                </c:pt>
                <c:pt idx="3">
                  <c:v>12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3A-4AD1-97E9-599799683A58}"/>
            </c:ext>
          </c:extLst>
        </c:ser>
        <c:ser>
          <c:idx val="2"/>
          <c:order val="2"/>
          <c:tx>
            <c:strRef>
              <c:f>Arkusz2!$D$142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Arkusz2!$I$139:$M$139</c:f>
              <c:strCache>
                <c:ptCount val="5"/>
                <c:pt idx="0">
                  <c:v>telekomunikacyjne</c:v>
                </c:pt>
                <c:pt idx="1">
                  <c:v>turystyka i rekreacja</c:v>
                </c:pt>
                <c:pt idx="2">
                  <c:v>sektor energetyczny i wodny</c:v>
                </c:pt>
                <c:pt idx="3">
                  <c:v>bieżąca konserweacja, utrzymanie domu, drobne naprawy, pielęgnacja</c:v>
                </c:pt>
                <c:pt idx="4">
                  <c:v>transportowe</c:v>
                </c:pt>
              </c:strCache>
            </c:strRef>
          </c:cat>
          <c:val>
            <c:numRef>
              <c:f>Arkusz2!$I$142:$M$142</c:f>
              <c:numCache>
                <c:formatCode>General</c:formatCode>
                <c:ptCount val="5"/>
                <c:pt idx="0">
                  <c:v>19</c:v>
                </c:pt>
                <c:pt idx="1">
                  <c:v>17</c:v>
                </c:pt>
                <c:pt idx="2">
                  <c:v>8</c:v>
                </c:pt>
                <c:pt idx="3">
                  <c:v>19</c:v>
                </c:pt>
                <c:pt idx="4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3A-4AD1-97E9-599799683A58}"/>
            </c:ext>
          </c:extLst>
        </c:ser>
        <c:ser>
          <c:idx val="3"/>
          <c:order val="3"/>
          <c:tx>
            <c:strRef>
              <c:f>Arkusz2!$D$143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Arkusz2!$I$139:$M$139</c:f>
              <c:strCache>
                <c:ptCount val="5"/>
                <c:pt idx="0">
                  <c:v>telekomunikacyjne</c:v>
                </c:pt>
                <c:pt idx="1">
                  <c:v>turystyka i rekreacja</c:v>
                </c:pt>
                <c:pt idx="2">
                  <c:v>sektor energetyczny i wodny</c:v>
                </c:pt>
                <c:pt idx="3">
                  <c:v>bieżąca konserweacja, utrzymanie domu, drobne naprawy, pielęgnacja</c:v>
                </c:pt>
                <c:pt idx="4">
                  <c:v>transportowe</c:v>
                </c:pt>
              </c:strCache>
            </c:strRef>
          </c:cat>
          <c:val>
            <c:numRef>
              <c:f>Arkusz2!$I$143:$M$143</c:f>
              <c:numCache>
                <c:formatCode>General</c:formatCode>
                <c:ptCount val="5"/>
                <c:pt idx="0">
                  <c:v>26</c:v>
                </c:pt>
                <c:pt idx="1">
                  <c:v>17</c:v>
                </c:pt>
                <c:pt idx="2">
                  <c:v>8</c:v>
                </c:pt>
                <c:pt idx="3">
                  <c:v>17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E3A-4AD1-97E9-599799683A58}"/>
            </c:ext>
          </c:extLst>
        </c:ser>
        <c:ser>
          <c:idx val="4"/>
          <c:order val="4"/>
          <c:tx>
            <c:strRef>
              <c:f>Arkusz2!$D$144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Arkusz2!$I$139:$M$139</c:f>
              <c:strCache>
                <c:ptCount val="5"/>
                <c:pt idx="0">
                  <c:v>telekomunikacyjne</c:v>
                </c:pt>
                <c:pt idx="1">
                  <c:v>turystyka i rekreacja</c:v>
                </c:pt>
                <c:pt idx="2">
                  <c:v>sektor energetyczny i wodny</c:v>
                </c:pt>
                <c:pt idx="3">
                  <c:v>bieżąca konserweacja, utrzymanie domu, drobne naprawy, pielęgnacja</c:v>
                </c:pt>
                <c:pt idx="4">
                  <c:v>transportowe</c:v>
                </c:pt>
              </c:strCache>
            </c:strRef>
          </c:cat>
          <c:val>
            <c:numRef>
              <c:f>Arkusz2!$I$144:$M$144</c:f>
              <c:numCache>
                <c:formatCode>General</c:formatCode>
                <c:ptCount val="5"/>
                <c:pt idx="0">
                  <c:v>33</c:v>
                </c:pt>
                <c:pt idx="1">
                  <c:v>24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E3A-4AD1-97E9-599799683A58}"/>
            </c:ext>
          </c:extLst>
        </c:ser>
        <c:ser>
          <c:idx val="5"/>
          <c:order val="5"/>
          <c:tx>
            <c:strRef>
              <c:f>Arkusz2!$D$145</c:f>
              <c:strCache>
                <c:ptCount val="1"/>
                <c:pt idx="0">
                  <c:v>2019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Arkusz2!$I$139:$M$139</c:f>
              <c:strCache>
                <c:ptCount val="5"/>
                <c:pt idx="0">
                  <c:v>telekomunikacyjne</c:v>
                </c:pt>
                <c:pt idx="1">
                  <c:v>turystyka i rekreacja</c:v>
                </c:pt>
                <c:pt idx="2">
                  <c:v>sektor energetyczny i wodny</c:v>
                </c:pt>
                <c:pt idx="3">
                  <c:v>bieżąca konserweacja, utrzymanie domu, drobne naprawy, pielęgnacja</c:v>
                </c:pt>
                <c:pt idx="4">
                  <c:v>transportowe</c:v>
                </c:pt>
              </c:strCache>
            </c:strRef>
          </c:cat>
          <c:val>
            <c:numRef>
              <c:f>Arkusz2!$I$145:$M$145</c:f>
              <c:numCache>
                <c:formatCode>General</c:formatCode>
                <c:ptCount val="5"/>
                <c:pt idx="0">
                  <c:v>29</c:v>
                </c:pt>
                <c:pt idx="1">
                  <c:v>13</c:v>
                </c:pt>
                <c:pt idx="2">
                  <c:v>14</c:v>
                </c:pt>
                <c:pt idx="3">
                  <c:v>32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3A-4AD1-97E9-599799683A5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975782719"/>
        <c:axId val="1975784639"/>
      </c:barChart>
      <c:catAx>
        <c:axId val="197578271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5784639"/>
        <c:crosses val="autoZero"/>
        <c:auto val="1"/>
        <c:lblAlgn val="ctr"/>
        <c:lblOffset val="100"/>
        <c:noMultiLvlLbl val="0"/>
      </c:catAx>
      <c:valAx>
        <c:axId val="1975784639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57827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</a:rPr>
              <a:t>wystąpienia do przedsiębiorców, zakończone 202</a:t>
            </a:r>
            <a:r>
              <a:rPr lang="pl-PL"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</a:rPr>
              <a:t>3</a:t>
            </a:r>
            <a:endParaRPr lang="en-US" sz="1800" b="1" i="0" u="none" strike="noStrike" kern="1200" cap="all" spc="150" baseline="0">
              <a:solidFill>
                <a:sysClr val="windowText" lastClr="000000">
                  <a:lumMod val="50000"/>
                  <a:lumOff val="50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72222222222223"/>
          <c:y val="0.43862131816856226"/>
          <c:w val="0.69722222222222219"/>
          <c:h val="0.4001881014873141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2754-4D53-B4B2-363073C41B4A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2754-4D53-B4B2-363073C41B4A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2754-4D53-B4B2-363073C41B4A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2754-4D53-B4B2-363073C41B4A}"/>
              </c:ext>
            </c:extLst>
          </c:dPt>
          <c:dPt>
            <c:idx val="4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2754-4D53-B4B2-363073C41B4A}"/>
              </c:ext>
            </c:extLst>
          </c:dPt>
          <c:dPt>
            <c:idx val="5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>
                <a:innerShdw blurRad="114300">
                  <a:srgbClr val="FF0000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2754-4D53-B4B2-363073C41B4A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2754-4D53-B4B2-363073C41B4A}"/>
              </c:ext>
            </c:extLst>
          </c:dPt>
          <c:dLbls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754-4D53-B4B2-363073C41B4A}"/>
                </c:ext>
              </c:extLst>
            </c:dLbl>
            <c:dLbl>
              <c:idx val="4"/>
              <c:layout>
                <c:manualLayout>
                  <c:x val="0.18836570428696414"/>
                  <c:y val="-2.981627296587926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754-4D53-B4B2-363073C41B4A}"/>
                </c:ext>
              </c:extLst>
            </c:dLbl>
            <c:dLbl>
              <c:idx val="5"/>
              <c:layout>
                <c:manualLayout>
                  <c:x val="1.3376202974628172E-2"/>
                  <c:y val="1.15066345873432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754-4D53-B4B2-363073C41B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Arkusz1!$C$52:$C$57</c:f>
              <c:strCache>
                <c:ptCount val="6"/>
                <c:pt idx="0">
                  <c:v>PONOWNE ROZPATRZENIE</c:v>
                </c:pt>
                <c:pt idx="1">
                  <c:v>WYJAŚNIENIE</c:v>
                </c:pt>
                <c:pt idx="2">
                  <c:v>W TOKU</c:v>
                </c:pt>
                <c:pt idx="3">
                  <c:v>BRAK ODPOWIEDZI OD PRZEDSIĘBIORCY</c:v>
                </c:pt>
                <c:pt idx="4">
                  <c:v>POZYTYWNIE</c:v>
                </c:pt>
                <c:pt idx="5">
                  <c:v>NEGATYWNIE</c:v>
                </c:pt>
              </c:strCache>
            </c:strRef>
          </c:cat>
          <c:val>
            <c:numRef>
              <c:f>Arkusz1!$D$52:$D$57</c:f>
              <c:numCache>
                <c:formatCode>General</c:formatCode>
                <c:ptCount val="6"/>
                <c:pt idx="0">
                  <c:v>17</c:v>
                </c:pt>
                <c:pt idx="1">
                  <c:v>16</c:v>
                </c:pt>
                <c:pt idx="2">
                  <c:v>0</c:v>
                </c:pt>
                <c:pt idx="3">
                  <c:v>27</c:v>
                </c:pt>
                <c:pt idx="4">
                  <c:v>138</c:v>
                </c:pt>
                <c:pt idx="5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2754-4D53-B4B2-363073C41B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12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</a:rPr>
              <a:t>wystąpienia do przedsiębiorców, zakończone 202</a:t>
            </a:r>
            <a:r>
              <a:rPr lang="pl-PL"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</a:rPr>
              <a:t>4</a:t>
            </a:r>
            <a:endParaRPr lang="en-US" sz="1800" b="1" i="0" u="none" strike="noStrike" kern="1200" cap="all" spc="150" baseline="0">
              <a:solidFill>
                <a:sysClr val="windowText" lastClr="000000">
                  <a:lumMod val="50000"/>
                  <a:lumOff val="50000"/>
                </a:sysClr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20972222222222223"/>
          <c:y val="0.43862131816856226"/>
          <c:w val="0.69722222222222219"/>
          <c:h val="0.4001881014873141"/>
        </c:manualLayout>
      </c:layout>
      <c:ofPieChart>
        <c:ofPieType val="pie"/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1F7D-4A71-B66D-31EF4444DA2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1F7D-4A71-B66D-31EF4444DA21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1F7D-4A71-B66D-31EF4444DA21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1F7D-4A71-B66D-31EF4444DA21}"/>
              </c:ext>
            </c:extLst>
          </c:dPt>
          <c:dPt>
            <c:idx val="4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1F7D-4A71-B66D-31EF4444DA21}"/>
              </c:ext>
            </c:extLst>
          </c:dPt>
          <c:dPt>
            <c:idx val="5"/>
            <c:bubble3D val="0"/>
            <c:spPr>
              <a:solidFill>
                <a:schemeClr val="accent2">
                  <a:lumMod val="20000"/>
                  <a:lumOff val="80000"/>
                </a:schemeClr>
              </a:solidFill>
              <a:ln w="19050">
                <a:solidFill>
                  <a:schemeClr val="lt1"/>
                </a:solidFill>
              </a:ln>
              <a:effectLst>
                <a:innerShdw blurRad="114300">
                  <a:srgbClr val="FF0000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1F7D-4A71-B66D-31EF4444DA21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1F7D-4A71-B66D-31EF4444DA21}"/>
              </c:ext>
            </c:extLst>
          </c:dPt>
          <c:dLbls>
            <c:dLbl>
              <c:idx val="4"/>
              <c:layout>
                <c:manualLayout>
                  <c:x val="0.2559490014808507"/>
                  <c:y val="-9.99339095811620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F7D-4A71-B66D-31EF4444DA21}"/>
                </c:ext>
              </c:extLst>
            </c:dLbl>
            <c:dLbl>
              <c:idx val="5"/>
              <c:layout>
                <c:manualLayout>
                  <c:x val="1.3376202974628172E-2"/>
                  <c:y val="1.150663458734324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F7D-4A71-B66D-31EF4444DA2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Arkusz1!$C$52:$C$57</c:f>
              <c:strCache>
                <c:ptCount val="6"/>
                <c:pt idx="0">
                  <c:v>PONOWNE ROZPATRZENIE</c:v>
                </c:pt>
                <c:pt idx="1">
                  <c:v>WYJAŚNIENIE</c:v>
                </c:pt>
                <c:pt idx="2">
                  <c:v>W TOKU</c:v>
                </c:pt>
                <c:pt idx="3">
                  <c:v>BRAK ODPOWIEDZI OD PRZEDSIĘBIORCY</c:v>
                </c:pt>
                <c:pt idx="4">
                  <c:v>POZYTYWNIE</c:v>
                </c:pt>
                <c:pt idx="5">
                  <c:v>NEGATYWNIE</c:v>
                </c:pt>
              </c:strCache>
            </c:strRef>
          </c:cat>
          <c:val>
            <c:numRef>
              <c:f>Arkusz1!$D$52:$D$57</c:f>
              <c:numCache>
                <c:formatCode>General</c:formatCode>
                <c:ptCount val="6"/>
                <c:pt idx="0">
                  <c:v>19</c:v>
                </c:pt>
                <c:pt idx="1">
                  <c:v>23</c:v>
                </c:pt>
                <c:pt idx="2">
                  <c:v>46</c:v>
                </c:pt>
                <c:pt idx="3">
                  <c:v>9</c:v>
                </c:pt>
                <c:pt idx="4">
                  <c:v>133</c:v>
                </c:pt>
                <c:pt idx="5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F7D-4A71-B66D-31EF4444DA2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gapWidth val="100"/>
        <c:secondPieSize val="125"/>
        <c:serLines>
          <c:spPr>
            <a:ln w="9525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sprzedaż i usługi w poradach 2023-2024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Arkusz2!$F$4</c:f>
              <c:strCache>
                <c:ptCount val="1"/>
                <c:pt idx="0">
                  <c:v>sprzedaż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Arkusz2!$E$5:$E$6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Arkusz2!$F$5:$F$6</c:f>
              <c:numCache>
                <c:formatCode>General</c:formatCode>
                <c:ptCount val="2"/>
                <c:pt idx="0">
                  <c:v>1126</c:v>
                </c:pt>
                <c:pt idx="1">
                  <c:v>1172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F7-4EF0-8A49-CCA3F31D4004}"/>
            </c:ext>
          </c:extLst>
        </c:ser>
        <c:ser>
          <c:idx val="1"/>
          <c:order val="1"/>
          <c:tx>
            <c:strRef>
              <c:f>Arkusz2!$G$4</c:f>
              <c:strCache>
                <c:ptCount val="1"/>
                <c:pt idx="0">
                  <c:v>usługi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Arkusz2!$E$5:$E$6</c:f>
              <c:numCache>
                <c:formatCode>General</c:formatCode>
                <c:ptCount val="2"/>
                <c:pt idx="0">
                  <c:v>2023</c:v>
                </c:pt>
                <c:pt idx="1">
                  <c:v>2024</c:v>
                </c:pt>
              </c:numCache>
            </c:numRef>
          </c:cat>
          <c:val>
            <c:numRef>
              <c:f>Arkusz2!$G$5:$G$6</c:f>
              <c:numCache>
                <c:formatCode>General</c:formatCode>
                <c:ptCount val="2"/>
                <c:pt idx="0">
                  <c:v>870</c:v>
                </c:pt>
                <c:pt idx="1">
                  <c:v>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F7-4EF0-8A49-CCA3F31D400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976879343"/>
        <c:axId val="1976868303"/>
      </c:barChart>
      <c:catAx>
        <c:axId val="19768793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6868303"/>
        <c:crosses val="autoZero"/>
        <c:auto val="1"/>
        <c:lblAlgn val="ctr"/>
        <c:lblOffset val="100"/>
        <c:noMultiLvlLbl val="0"/>
      </c:catAx>
      <c:valAx>
        <c:axId val="1976868303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7687934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sposób</a:t>
            </a:r>
            <a:r>
              <a:rPr lang="pl-PL" baseline="0"/>
              <a:t> zawarcia umowy-porady dotyczące sprzedaży lub usług 2023-2024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Arkusz2!$C$26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Arkusz2!$D$25:$F$25</c:f>
              <c:strCache>
                <c:ptCount val="3"/>
                <c:pt idx="0">
                  <c:v>w lokalu/bez znaczenia</c:v>
                </c:pt>
                <c:pt idx="1">
                  <c:v>na odległość</c:v>
                </c:pt>
                <c:pt idx="2">
                  <c:v>poza lokalem</c:v>
                </c:pt>
              </c:strCache>
            </c:strRef>
          </c:cat>
          <c:val>
            <c:numRef>
              <c:f>Arkusz2!$D$26:$F$26</c:f>
              <c:numCache>
                <c:formatCode>General</c:formatCode>
                <c:ptCount val="3"/>
                <c:pt idx="0">
                  <c:v>1565</c:v>
                </c:pt>
                <c:pt idx="1">
                  <c:v>372</c:v>
                </c:pt>
                <c:pt idx="2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D7-4EA3-80C3-6B6ED57BDB56}"/>
            </c:ext>
          </c:extLst>
        </c:ser>
        <c:ser>
          <c:idx val="1"/>
          <c:order val="1"/>
          <c:tx>
            <c:strRef>
              <c:f>Arkusz2!$C$27</c:f>
              <c:strCache>
                <c:ptCount val="1"/>
                <c:pt idx="0">
                  <c:v>2024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Arkusz2!$D$25:$F$25</c:f>
              <c:strCache>
                <c:ptCount val="3"/>
                <c:pt idx="0">
                  <c:v>w lokalu/bez znaczenia</c:v>
                </c:pt>
                <c:pt idx="1">
                  <c:v>na odległość</c:v>
                </c:pt>
                <c:pt idx="2">
                  <c:v>poza lokalem</c:v>
                </c:pt>
              </c:strCache>
            </c:strRef>
          </c:cat>
          <c:val>
            <c:numRef>
              <c:f>Arkusz2!$D$27:$F$27</c:f>
              <c:numCache>
                <c:formatCode>General</c:formatCode>
                <c:ptCount val="3"/>
                <c:pt idx="0">
                  <c:v>1710</c:v>
                </c:pt>
                <c:pt idx="1">
                  <c:v>368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D7-4EA3-80C3-6B6ED57BDB5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2068580463"/>
        <c:axId val="2068582383"/>
      </c:barChart>
      <c:catAx>
        <c:axId val="20685804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68582383"/>
        <c:crosses val="autoZero"/>
        <c:auto val="1"/>
        <c:lblAlgn val="ctr"/>
        <c:lblOffset val="100"/>
        <c:noMultiLvlLbl val="0"/>
      </c:catAx>
      <c:valAx>
        <c:axId val="2068582383"/>
        <c:scaling>
          <c:orientation val="minMax"/>
        </c:scaling>
        <c:delete val="0"/>
        <c:axPos val="b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6858046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główne problemy</a:t>
            </a:r>
            <a:r>
              <a:rPr lang="pl-PL" baseline="0"/>
              <a:t> porad 2023-2024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7686378128908382"/>
          <c:y val="0.15296738623447559"/>
          <c:w val="0.52367753527453365"/>
          <c:h val="0.80337671350226003"/>
        </c:manualLayout>
      </c:layout>
      <c:doughnutChart>
        <c:varyColors val="1"/>
        <c:ser>
          <c:idx val="0"/>
          <c:order val="0"/>
          <c:tx>
            <c:strRef>
              <c:f>Arkusz2!$C$46</c:f>
              <c:strCache>
                <c:ptCount val="1"/>
                <c:pt idx="0">
                  <c:v>2023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717F-4056-BD37-6B7A4FBA3FD5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717F-4056-BD37-6B7A4FBA3FD5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717F-4056-BD37-6B7A4FBA3FD5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717F-4056-BD37-6B7A4FBA3FD5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717F-4056-BD37-6B7A4FBA3FD5}"/>
              </c:ext>
            </c:extLst>
          </c:dPt>
          <c:dLbls>
            <c:dLbl>
              <c:idx val="0"/>
              <c:layout>
                <c:manualLayout>
                  <c:x val="-9.3959731543624331E-2"/>
                  <c:y val="-3.0888035061567988E-2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7F-4056-BD37-6B7A4FBA3FD5}"/>
                </c:ext>
              </c:extLst>
            </c:dLbl>
            <c:dLbl>
              <c:idx val="1"/>
              <c:layout>
                <c:manualLayout>
                  <c:x val="9.6196868008948541E-2"/>
                  <c:y val="-1.0296011687189329E-2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7F-4056-BD37-6B7A4FBA3FD5}"/>
                </c:ext>
              </c:extLst>
            </c:dLbl>
            <c:dLbl>
              <c:idx val="2"/>
              <c:layout>
                <c:manualLayout>
                  <c:x val="8.2774049217002238E-2"/>
                  <c:y val="0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7F-4056-BD37-6B7A4FBA3FD5}"/>
                </c:ext>
              </c:extLst>
            </c:dLbl>
            <c:dLbl>
              <c:idx val="3"/>
              <c:layout>
                <c:manualLayout>
                  <c:x val="6.4876957494407153E-2"/>
                  <c:y val="7.8936089601784859E-2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7F-4056-BD37-6B7A4FBA3FD5}"/>
                </c:ext>
              </c:extLst>
            </c:dLbl>
            <c:dLbl>
              <c:idx val="4"/>
              <c:layout>
                <c:manualLayout>
                  <c:x val="6.7114093959731542E-3"/>
                  <c:y val="8.236809349751463E-2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7F-4056-BD37-6B7A4FBA3F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Arkusz2!$D$45:$H$45</c:f>
              <c:strCache>
                <c:ptCount val="5"/>
                <c:pt idx="0">
                  <c:v>wady towarów, nienależyte wykonanie umowy</c:v>
                </c:pt>
                <c:pt idx="1">
                  <c:v>rozwiązanie umowy, odstąpienie, wypowiedzenie, wygaśnięcie</c:v>
                </c:pt>
                <c:pt idx="2">
                  <c:v>nieuczciwe praktyki rynkowe, wady czynności prawnych</c:v>
                </c:pt>
                <c:pt idx="3">
                  <c:v>warunki umowy, niedozwolone postanowienia umowne</c:v>
                </c:pt>
                <c:pt idx="4">
                  <c:v>inne</c:v>
                </c:pt>
              </c:strCache>
            </c:strRef>
          </c:cat>
          <c:val>
            <c:numRef>
              <c:f>Arkusz2!$D$46:$H$46</c:f>
              <c:numCache>
                <c:formatCode>General</c:formatCode>
                <c:ptCount val="5"/>
                <c:pt idx="0">
                  <c:v>1202</c:v>
                </c:pt>
                <c:pt idx="1">
                  <c:v>261</c:v>
                </c:pt>
                <c:pt idx="2">
                  <c:v>84</c:v>
                </c:pt>
                <c:pt idx="3">
                  <c:v>366</c:v>
                </c:pt>
                <c:pt idx="4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17F-4056-BD37-6B7A4FBA3FD5}"/>
            </c:ext>
          </c:extLst>
        </c:ser>
        <c:ser>
          <c:idx val="1"/>
          <c:order val="1"/>
          <c:tx>
            <c:strRef>
              <c:f>Arkusz2!$C$47</c:f>
              <c:strCache>
                <c:ptCount val="1"/>
                <c:pt idx="0">
                  <c:v>2024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C-717F-4056-BD37-6B7A4FBA3FD5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E-717F-4056-BD37-6B7A4FBA3FD5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0-717F-4056-BD37-6B7A4FBA3FD5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2-717F-4056-BD37-6B7A4FBA3FD5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4-717F-4056-BD37-6B7A4FBA3FD5}"/>
              </c:ext>
            </c:extLst>
          </c:dPt>
          <c:dLbls>
            <c:dLbl>
              <c:idx val="0"/>
              <c:layout>
                <c:manualLayout>
                  <c:x val="4.2505592841163314E-2"/>
                  <c:y val="0.16473618699502926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17F-4056-BD37-6B7A4FBA3FD5}"/>
                </c:ext>
              </c:extLst>
            </c:dLbl>
            <c:dLbl>
              <c:idx val="1"/>
              <c:layout>
                <c:manualLayout>
                  <c:x val="-7.829977628635347E-2"/>
                  <c:y val="6.1776070123135976E-2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17F-4056-BD37-6B7A4FBA3FD5}"/>
                </c:ext>
              </c:extLst>
            </c:dLbl>
            <c:dLbl>
              <c:idx val="2"/>
              <c:layout>
                <c:manualLayout>
                  <c:x val="-6.0402684563758392E-2"/>
                  <c:y val="-0.13728015582919106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717F-4056-BD37-6B7A4FBA3FD5}"/>
                </c:ext>
              </c:extLst>
            </c:dLbl>
            <c:dLbl>
              <c:idx val="3"/>
              <c:layout>
                <c:manualLayout>
                  <c:x val="-9.6196868008948583E-2"/>
                  <c:y val="-4.8048054540216871E-2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717F-4056-BD37-6B7A4FBA3FD5}"/>
                </c:ext>
              </c:extLst>
            </c:dLbl>
            <c:dLbl>
              <c:idx val="4"/>
              <c:layout>
                <c:manualLayout>
                  <c:x val="-0.13422818791946309"/>
                  <c:y val="-2.4024027270108436E-2"/>
                </c:manualLayout>
              </c:layout>
              <c:showLegendKey val="0"/>
              <c:showVal val="1"/>
              <c:showCatName val="0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717F-4056-BD37-6B7A4FBA3F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1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Arkusz2!$D$45:$H$45</c:f>
              <c:strCache>
                <c:ptCount val="5"/>
                <c:pt idx="0">
                  <c:v>wady towarów, nienależyte wykonanie umowy</c:v>
                </c:pt>
                <c:pt idx="1">
                  <c:v>rozwiązanie umowy, odstąpienie, wypowiedzenie, wygaśnięcie</c:v>
                </c:pt>
                <c:pt idx="2">
                  <c:v>nieuczciwe praktyki rynkowe, wady czynności prawnych</c:v>
                </c:pt>
                <c:pt idx="3">
                  <c:v>warunki umowy, niedozwolone postanowienia umowne</c:v>
                </c:pt>
                <c:pt idx="4">
                  <c:v>inne</c:v>
                </c:pt>
              </c:strCache>
            </c:strRef>
          </c:cat>
          <c:val>
            <c:numRef>
              <c:f>Arkusz2!$D$47:$H$47</c:f>
              <c:numCache>
                <c:formatCode>General</c:formatCode>
                <c:ptCount val="5"/>
                <c:pt idx="0">
                  <c:v>1321</c:v>
                </c:pt>
                <c:pt idx="1">
                  <c:v>229</c:v>
                </c:pt>
                <c:pt idx="2">
                  <c:v>114</c:v>
                </c:pt>
                <c:pt idx="3">
                  <c:v>357</c:v>
                </c:pt>
                <c:pt idx="4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717F-4056-BD37-6B7A4FBA3F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legend>
      <c:legendPos val="l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porady w zakresie sprzedaży 2023-2024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Arkusz2!$C$72</c:f>
              <c:strCache>
                <c:ptCount val="1"/>
                <c:pt idx="0">
                  <c:v>2024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Arkusz2!$D$71:$G$71</c:f>
              <c:strCache>
                <c:ptCount val="4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Arkusz2!$D$72:$G$72</c:f>
              <c:numCache>
                <c:formatCode>General</c:formatCode>
                <c:ptCount val="4"/>
                <c:pt idx="0">
                  <c:v>389</c:v>
                </c:pt>
                <c:pt idx="1">
                  <c:v>304</c:v>
                </c:pt>
                <c:pt idx="2">
                  <c:v>163</c:v>
                </c:pt>
                <c:pt idx="3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80-4F11-906B-D2C53B0E3E8E}"/>
            </c:ext>
          </c:extLst>
        </c:ser>
        <c:ser>
          <c:idx val="1"/>
          <c:order val="1"/>
          <c:tx>
            <c:strRef>
              <c:f>Arkusz2!$C$73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Arkusz2!$D$71:$G$71</c:f>
              <c:strCache>
                <c:ptCount val="4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Arkusz2!$D$73:$G$73</c:f>
              <c:numCache>
                <c:formatCode>General</c:formatCode>
                <c:ptCount val="4"/>
                <c:pt idx="0">
                  <c:v>349</c:v>
                </c:pt>
                <c:pt idx="1">
                  <c:v>268</c:v>
                </c:pt>
                <c:pt idx="2">
                  <c:v>190</c:v>
                </c:pt>
                <c:pt idx="3">
                  <c:v>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80-4F11-906B-D2C53B0E3E8E}"/>
            </c:ext>
          </c:extLst>
        </c:ser>
        <c:ser>
          <c:idx val="2"/>
          <c:order val="2"/>
          <c:tx>
            <c:strRef>
              <c:f>Arkusz2!$C$74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Arkusz2!$D$71:$G$71</c:f>
              <c:strCache>
                <c:ptCount val="4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Arkusz2!$D$74:$G$74</c:f>
              <c:numCache>
                <c:formatCode>General</c:formatCode>
                <c:ptCount val="4"/>
                <c:pt idx="0">
                  <c:v>458</c:v>
                </c:pt>
                <c:pt idx="1">
                  <c:v>329</c:v>
                </c:pt>
                <c:pt idx="2">
                  <c:v>210</c:v>
                </c:pt>
                <c:pt idx="3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80-4F11-906B-D2C53B0E3E8E}"/>
            </c:ext>
          </c:extLst>
        </c:ser>
        <c:ser>
          <c:idx val="3"/>
          <c:order val="3"/>
          <c:tx>
            <c:strRef>
              <c:f>Arkusz2!$C$75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Arkusz2!$D$71:$G$71</c:f>
              <c:strCache>
                <c:ptCount val="4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Arkusz2!$D$75:$G$75</c:f>
              <c:numCache>
                <c:formatCode>General</c:formatCode>
                <c:ptCount val="4"/>
                <c:pt idx="0">
                  <c:v>425</c:v>
                </c:pt>
                <c:pt idx="1">
                  <c:v>282</c:v>
                </c:pt>
                <c:pt idx="2">
                  <c:v>213</c:v>
                </c:pt>
                <c:pt idx="3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080-4F11-906B-D2C53B0E3E8E}"/>
            </c:ext>
          </c:extLst>
        </c:ser>
        <c:ser>
          <c:idx val="4"/>
          <c:order val="4"/>
          <c:tx>
            <c:strRef>
              <c:f>Arkusz2!$C$76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Arkusz2!$D$71:$G$71</c:f>
              <c:strCache>
                <c:ptCount val="4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Arkusz2!$D$76:$G$76</c:f>
              <c:numCache>
                <c:formatCode>General</c:formatCode>
                <c:ptCount val="4"/>
                <c:pt idx="0">
                  <c:v>515</c:v>
                </c:pt>
                <c:pt idx="1">
                  <c:v>354</c:v>
                </c:pt>
                <c:pt idx="2">
                  <c:v>206</c:v>
                </c:pt>
                <c:pt idx="3">
                  <c:v>131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080-4F11-906B-D2C53B0E3E8E}"/>
            </c:ext>
          </c:extLst>
        </c:ser>
        <c:ser>
          <c:idx val="5"/>
          <c:order val="5"/>
          <c:tx>
            <c:strRef>
              <c:f>Arkusz2!$C$77</c:f>
              <c:strCache>
                <c:ptCount val="1"/>
                <c:pt idx="0">
                  <c:v>2019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Arkusz2!$D$71:$G$71</c:f>
              <c:strCache>
                <c:ptCount val="4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Arkusz2!$D$77:$G$77</c:f>
              <c:numCache>
                <c:formatCode>General</c:formatCode>
                <c:ptCount val="4"/>
                <c:pt idx="0">
                  <c:v>600</c:v>
                </c:pt>
                <c:pt idx="1">
                  <c:v>539</c:v>
                </c:pt>
                <c:pt idx="2">
                  <c:v>237</c:v>
                </c:pt>
                <c:pt idx="3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080-4F11-906B-D2C53B0E3E8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8275055"/>
        <c:axId val="18247215"/>
      </c:barChart>
      <c:catAx>
        <c:axId val="1827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47215"/>
        <c:crosses val="autoZero"/>
        <c:auto val="1"/>
        <c:lblAlgn val="ctr"/>
        <c:lblOffset val="100"/>
        <c:noMultiLvlLbl val="0"/>
      </c:catAx>
      <c:valAx>
        <c:axId val="18247215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827505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porady w zakresie usług 2019-2024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Arkusz2!$C$72</c:f>
              <c:strCache>
                <c:ptCount val="1"/>
                <c:pt idx="0">
                  <c:v>2024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Arkusz2!$H$71:$L$71</c:f>
              <c:strCache>
                <c:ptCount val="5"/>
                <c:pt idx="0">
                  <c:v>transportowe</c:v>
                </c:pt>
                <c:pt idx="1">
                  <c:v>bieżąca konserweacja, utrzymanie domu, drobne naprawy, pielęgnacja</c:v>
                </c:pt>
                <c:pt idx="2">
                  <c:v>telekomunikacyjne</c:v>
                </c:pt>
                <c:pt idx="3">
                  <c:v>sektor energetyczny i wodny</c:v>
                </c:pt>
                <c:pt idx="4">
                  <c:v>turystyka i rekreacja</c:v>
                </c:pt>
              </c:strCache>
            </c:strRef>
          </c:cat>
          <c:val>
            <c:numRef>
              <c:f>Arkusz2!$H$72:$L$72</c:f>
              <c:numCache>
                <c:formatCode>General</c:formatCode>
                <c:ptCount val="5"/>
                <c:pt idx="0">
                  <c:v>160</c:v>
                </c:pt>
                <c:pt idx="1">
                  <c:v>117</c:v>
                </c:pt>
                <c:pt idx="2">
                  <c:v>125</c:v>
                </c:pt>
                <c:pt idx="3">
                  <c:v>52</c:v>
                </c:pt>
                <c:pt idx="4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67-4E34-8792-1974ECE60F1C}"/>
            </c:ext>
          </c:extLst>
        </c:ser>
        <c:ser>
          <c:idx val="1"/>
          <c:order val="1"/>
          <c:tx>
            <c:strRef>
              <c:f>Arkusz2!$C$73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Arkusz2!$H$71:$L$71</c:f>
              <c:strCache>
                <c:ptCount val="5"/>
                <c:pt idx="0">
                  <c:v>transportowe</c:v>
                </c:pt>
                <c:pt idx="1">
                  <c:v>bieżąca konserweacja, utrzymanie domu, drobne naprawy, pielęgnacja</c:v>
                </c:pt>
                <c:pt idx="2">
                  <c:v>telekomunikacyjne</c:v>
                </c:pt>
                <c:pt idx="3">
                  <c:v>sektor energetyczny i wodny</c:v>
                </c:pt>
                <c:pt idx="4">
                  <c:v>turystyka i rekreacja</c:v>
                </c:pt>
              </c:strCache>
            </c:strRef>
          </c:cat>
          <c:val>
            <c:numRef>
              <c:f>Arkusz2!$H$73:$L$73</c:f>
              <c:numCache>
                <c:formatCode>General</c:formatCode>
                <c:ptCount val="5"/>
                <c:pt idx="0">
                  <c:v>155</c:v>
                </c:pt>
                <c:pt idx="1">
                  <c:v>119</c:v>
                </c:pt>
                <c:pt idx="2">
                  <c:v>106</c:v>
                </c:pt>
                <c:pt idx="3">
                  <c:v>100</c:v>
                </c:pt>
                <c:pt idx="4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67-4E34-8792-1974ECE60F1C}"/>
            </c:ext>
          </c:extLst>
        </c:ser>
        <c:ser>
          <c:idx val="2"/>
          <c:order val="2"/>
          <c:tx>
            <c:strRef>
              <c:f>Arkusz2!$C$74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Arkusz2!$H$71:$L$71</c:f>
              <c:strCache>
                <c:ptCount val="5"/>
                <c:pt idx="0">
                  <c:v>transportowe</c:v>
                </c:pt>
                <c:pt idx="1">
                  <c:v>bieżąca konserweacja, utrzymanie domu, drobne naprawy, pielęgnacja</c:v>
                </c:pt>
                <c:pt idx="2">
                  <c:v>telekomunikacyjne</c:v>
                </c:pt>
                <c:pt idx="3">
                  <c:v>sektor energetyczny i wodny</c:v>
                </c:pt>
                <c:pt idx="4">
                  <c:v>turystyka i rekreacja</c:v>
                </c:pt>
              </c:strCache>
            </c:strRef>
          </c:cat>
          <c:val>
            <c:numRef>
              <c:f>Arkusz2!$H$74:$L$74</c:f>
              <c:numCache>
                <c:formatCode>General</c:formatCode>
                <c:ptCount val="5"/>
                <c:pt idx="0">
                  <c:v>101</c:v>
                </c:pt>
                <c:pt idx="1">
                  <c:v>167</c:v>
                </c:pt>
                <c:pt idx="2">
                  <c:v>105</c:v>
                </c:pt>
                <c:pt idx="3">
                  <c:v>101</c:v>
                </c:pt>
                <c:pt idx="4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67-4E34-8792-1974ECE60F1C}"/>
            </c:ext>
          </c:extLst>
        </c:ser>
        <c:ser>
          <c:idx val="3"/>
          <c:order val="3"/>
          <c:tx>
            <c:strRef>
              <c:f>Arkusz2!$C$75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Arkusz2!$H$71:$L$71</c:f>
              <c:strCache>
                <c:ptCount val="5"/>
                <c:pt idx="0">
                  <c:v>transportowe</c:v>
                </c:pt>
                <c:pt idx="1">
                  <c:v>bieżąca konserweacja, utrzymanie domu, drobne naprawy, pielęgnacja</c:v>
                </c:pt>
                <c:pt idx="2">
                  <c:v>telekomunikacyjne</c:v>
                </c:pt>
                <c:pt idx="3">
                  <c:v>sektor energetyczny i wodny</c:v>
                </c:pt>
                <c:pt idx="4">
                  <c:v>turystyka i rekreacja</c:v>
                </c:pt>
              </c:strCache>
            </c:strRef>
          </c:cat>
          <c:val>
            <c:numRef>
              <c:f>Arkusz2!$H$75:$L$75</c:f>
              <c:numCache>
                <c:formatCode>General</c:formatCode>
                <c:ptCount val="5"/>
                <c:pt idx="0">
                  <c:v>41</c:v>
                </c:pt>
                <c:pt idx="1">
                  <c:v>146</c:v>
                </c:pt>
                <c:pt idx="2">
                  <c:v>146</c:v>
                </c:pt>
                <c:pt idx="3">
                  <c:v>91</c:v>
                </c:pt>
                <c:pt idx="4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867-4E34-8792-1974ECE60F1C}"/>
            </c:ext>
          </c:extLst>
        </c:ser>
        <c:ser>
          <c:idx val="4"/>
          <c:order val="4"/>
          <c:tx>
            <c:strRef>
              <c:f>Arkusz2!$C$76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Arkusz2!$H$71:$L$71</c:f>
              <c:strCache>
                <c:ptCount val="5"/>
                <c:pt idx="0">
                  <c:v>transportowe</c:v>
                </c:pt>
                <c:pt idx="1">
                  <c:v>bieżąca konserweacja, utrzymanie domu, drobne naprawy, pielęgnacja</c:v>
                </c:pt>
                <c:pt idx="2">
                  <c:v>telekomunikacyjne</c:v>
                </c:pt>
                <c:pt idx="3">
                  <c:v>sektor energetyczny i wodny</c:v>
                </c:pt>
                <c:pt idx="4">
                  <c:v>turystyka i rekreacja</c:v>
                </c:pt>
              </c:strCache>
            </c:strRef>
          </c:cat>
          <c:val>
            <c:numRef>
              <c:f>Arkusz2!$H$76:$L$76</c:f>
              <c:numCache>
                <c:formatCode>General</c:formatCode>
                <c:ptCount val="5"/>
                <c:pt idx="0">
                  <c:v>52</c:v>
                </c:pt>
                <c:pt idx="1">
                  <c:v>158</c:v>
                </c:pt>
                <c:pt idx="2">
                  <c:v>163</c:v>
                </c:pt>
                <c:pt idx="3">
                  <c:v>80</c:v>
                </c:pt>
                <c:pt idx="4">
                  <c:v>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867-4E34-8792-1974ECE60F1C}"/>
            </c:ext>
          </c:extLst>
        </c:ser>
        <c:ser>
          <c:idx val="5"/>
          <c:order val="5"/>
          <c:tx>
            <c:strRef>
              <c:f>Arkusz2!$C$77</c:f>
              <c:strCache>
                <c:ptCount val="1"/>
                <c:pt idx="0">
                  <c:v>2019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Arkusz2!$H$71:$L$71</c:f>
              <c:strCache>
                <c:ptCount val="5"/>
                <c:pt idx="0">
                  <c:v>transportowe</c:v>
                </c:pt>
                <c:pt idx="1">
                  <c:v>bieżąca konserweacja, utrzymanie domu, drobne naprawy, pielęgnacja</c:v>
                </c:pt>
                <c:pt idx="2">
                  <c:v>telekomunikacyjne</c:v>
                </c:pt>
                <c:pt idx="3">
                  <c:v>sektor energetyczny i wodny</c:v>
                </c:pt>
                <c:pt idx="4">
                  <c:v>turystyka i rekreacja</c:v>
                </c:pt>
              </c:strCache>
            </c:strRef>
          </c:cat>
          <c:val>
            <c:numRef>
              <c:f>Arkusz2!$H$77:$L$77</c:f>
              <c:numCache>
                <c:formatCode>General</c:formatCode>
                <c:ptCount val="5"/>
                <c:pt idx="0">
                  <c:v>40</c:v>
                </c:pt>
                <c:pt idx="1">
                  <c:v>201</c:v>
                </c:pt>
                <c:pt idx="2">
                  <c:v>207</c:v>
                </c:pt>
                <c:pt idx="3">
                  <c:v>117</c:v>
                </c:pt>
                <c:pt idx="4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867-4E34-8792-1974ECE60F1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8269391"/>
        <c:axId val="28277071"/>
      </c:barChart>
      <c:catAx>
        <c:axId val="282693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277071"/>
        <c:crosses val="autoZero"/>
        <c:auto val="1"/>
        <c:lblAlgn val="ctr"/>
        <c:lblOffset val="100"/>
        <c:noMultiLvlLbl val="0"/>
      </c:catAx>
      <c:valAx>
        <c:axId val="28277071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82693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porady w odniesieniu</a:t>
            </a:r>
            <a:r>
              <a:rPr lang="pl-PL" baseline="0"/>
              <a:t> do branży 2024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0731073757211297"/>
          <c:y val="0.2428210257501596"/>
          <c:w val="0.36319327804490331"/>
          <c:h val="0.5899436759594239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CD71-4E47-8B1E-46B4952B99BF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CD71-4E47-8B1E-46B4952B99BF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CD71-4E47-8B1E-46B4952B99BF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CD71-4E47-8B1E-46B4952B99BF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CD71-4E47-8B1E-46B4952B99BF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CD71-4E47-8B1E-46B4952B99BF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CD71-4E47-8B1E-46B4952B99BF}"/>
              </c:ext>
            </c:extLst>
          </c:dPt>
          <c:dPt>
            <c:idx val="7"/>
            <c:bubble3D val="0"/>
            <c:spPr>
              <a:pattFill prst="ltUpDiag">
                <a:fgClr>
                  <a:schemeClr val="accent2">
                    <a:lumMod val="60000"/>
                  </a:schemeClr>
                </a:fgClr>
                <a:bgClr>
                  <a:schemeClr val="accent2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CD71-4E47-8B1E-46B4952B99BF}"/>
              </c:ext>
            </c:extLst>
          </c:dPt>
          <c:dPt>
            <c:idx val="8"/>
            <c:bubble3D val="0"/>
            <c:spPr>
              <a:pattFill prst="ltUpDiag">
                <a:fgClr>
                  <a:schemeClr val="accent3">
                    <a:lumMod val="60000"/>
                  </a:schemeClr>
                </a:fgClr>
                <a:bgClr>
                  <a:schemeClr val="accent3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CD71-4E47-8B1E-46B4952B99BF}"/>
              </c:ext>
            </c:extLst>
          </c:dPt>
          <c:dLbls>
            <c:dLbl>
              <c:idx val="0"/>
              <c:layout>
                <c:manualLayout>
                  <c:x val="7.0905795677370612E-2"/>
                  <c:y val="0.1338650776761012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71-4E47-8B1E-46B4952B99BF}"/>
                </c:ext>
              </c:extLst>
            </c:dLbl>
            <c:dLbl>
              <c:idx val="1"/>
              <c:layout>
                <c:manualLayout>
                  <c:x val="5.9167703870626823E-2"/>
                  <c:y val="-1.9481591828048522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D71-4E47-8B1E-46B4952B99BF}"/>
                </c:ext>
              </c:extLst>
            </c:dLbl>
            <c:dLbl>
              <c:idx val="2"/>
              <c:layout>
                <c:manualLayout>
                  <c:x val="4.8568396504513472E-2"/>
                  <c:y val="2.326140313541875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71-4E47-8B1E-46B4952B99BF}"/>
                </c:ext>
              </c:extLst>
            </c:dLbl>
            <c:dLbl>
              <c:idx val="3"/>
              <c:layout>
                <c:manualLayout>
                  <c:x val="-4.3499941043143316E-2"/>
                  <c:y val="-1.95539476484358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D71-4E47-8B1E-46B4952B99BF}"/>
                </c:ext>
              </c:extLst>
            </c:dLbl>
            <c:dLbl>
              <c:idx val="4"/>
              <c:layout>
                <c:manualLayout>
                  <c:x val="-9.1232722365611127E-2"/>
                  <c:y val="7.824444917358303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71-4E47-8B1E-46B4952B99BF}"/>
                </c:ext>
              </c:extLst>
            </c:dLbl>
            <c:dLbl>
              <c:idx val="5"/>
              <c:layout>
                <c:manualLayout>
                  <c:x val="-6.5137282132578689E-2"/>
                  <c:y val="5.70419238135773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D71-4E47-8B1E-46B4952B99BF}"/>
                </c:ext>
              </c:extLst>
            </c:dLbl>
            <c:dLbl>
              <c:idx val="6"/>
              <c:layout>
                <c:manualLayout>
                  <c:x val="-8.9098833527672602E-2"/>
                  <c:y val="5.759977300134780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D71-4E47-8B1E-46B4952B99BF}"/>
                </c:ext>
              </c:extLst>
            </c:dLbl>
            <c:dLbl>
              <c:idx val="7"/>
              <c:layout>
                <c:manualLayout>
                  <c:x val="-0.13551168000838498"/>
                  <c:y val="4.373951904660566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D71-4E47-8B1E-46B4952B99BF}"/>
                </c:ext>
              </c:extLst>
            </c:dLbl>
            <c:dLbl>
              <c:idx val="8"/>
              <c:layout>
                <c:manualLayout>
                  <c:x val="-0.10706538970482267"/>
                  <c:y val="1.014116478683407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D71-4E47-8B1E-46B4952B99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Arkusz2!$D$71:$L$71</c:f>
              <c:strCache>
                <c:ptCount val="9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  <c:pt idx="4">
                  <c:v>transportowe</c:v>
                </c:pt>
                <c:pt idx="5">
                  <c:v>bieżąca konserweacja, utrzymanie domu, drobne naprawy, pielęgnacja</c:v>
                </c:pt>
                <c:pt idx="6">
                  <c:v>telekomunikacyjne</c:v>
                </c:pt>
                <c:pt idx="7">
                  <c:v>sektor energetyczny i wodny</c:v>
                </c:pt>
                <c:pt idx="8">
                  <c:v>turystyka i rekreacja</c:v>
                </c:pt>
              </c:strCache>
            </c:strRef>
          </c:cat>
          <c:val>
            <c:numRef>
              <c:f>Arkusz2!$D$72:$L$72</c:f>
              <c:numCache>
                <c:formatCode>General</c:formatCode>
                <c:ptCount val="9"/>
                <c:pt idx="0">
                  <c:v>389</c:v>
                </c:pt>
                <c:pt idx="1">
                  <c:v>304</c:v>
                </c:pt>
                <c:pt idx="2">
                  <c:v>163</c:v>
                </c:pt>
                <c:pt idx="3">
                  <c:v>123</c:v>
                </c:pt>
                <c:pt idx="4">
                  <c:v>160</c:v>
                </c:pt>
                <c:pt idx="5">
                  <c:v>117</c:v>
                </c:pt>
                <c:pt idx="6">
                  <c:v>125</c:v>
                </c:pt>
                <c:pt idx="7">
                  <c:v>52</c:v>
                </c:pt>
                <c:pt idx="8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D71-4E47-8B1E-46B4952B99B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800" b="1" i="0" u="none" strike="noStrike" kern="1200" cap="all" spc="150" baseline="0">
                <a:solidFill>
                  <a:sysClr val="windowText" lastClr="000000">
                    <a:lumMod val="50000"/>
                    <a:lumOff val="50000"/>
                  </a:sysClr>
                </a:solidFill>
              </a:rPr>
              <a:t>porady w odniesieniu do branży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0.31736338977694678"/>
          <c:y val="0.25270995597095075"/>
          <c:w val="0.36304356604253901"/>
          <c:h val="0.588347025727475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9F6D-4907-AFA6-E7923485C5EE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9F6D-4907-AFA6-E7923485C5EE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9F6D-4907-AFA6-E7923485C5EE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9F6D-4907-AFA6-E7923485C5EE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9F6D-4907-AFA6-E7923485C5EE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9F6D-4907-AFA6-E7923485C5EE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9F6D-4907-AFA6-E7923485C5EE}"/>
              </c:ext>
            </c:extLst>
          </c:dPt>
          <c:dPt>
            <c:idx val="7"/>
            <c:bubble3D val="0"/>
            <c:spPr>
              <a:pattFill prst="ltUpDiag">
                <a:fgClr>
                  <a:schemeClr val="accent2">
                    <a:lumMod val="60000"/>
                  </a:schemeClr>
                </a:fgClr>
                <a:bgClr>
                  <a:schemeClr val="accent2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9F6D-4907-AFA6-E7923485C5EE}"/>
              </c:ext>
            </c:extLst>
          </c:dPt>
          <c:dPt>
            <c:idx val="8"/>
            <c:bubble3D val="0"/>
            <c:spPr>
              <a:pattFill prst="ltUpDiag">
                <a:fgClr>
                  <a:schemeClr val="accent3">
                    <a:lumMod val="60000"/>
                  </a:schemeClr>
                </a:fgClr>
                <a:bgClr>
                  <a:schemeClr val="accent3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11-9F6D-4907-AFA6-E7923485C5EE}"/>
              </c:ext>
            </c:extLst>
          </c:dPt>
          <c:dLbls>
            <c:dLbl>
              <c:idx val="0"/>
              <c:layout>
                <c:manualLayout>
                  <c:x val="8.2777763147499545E-2"/>
                  <c:y val="0.2231656815255816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6D-4907-AFA6-E7923485C5EE}"/>
                </c:ext>
              </c:extLst>
            </c:dLbl>
            <c:dLbl>
              <c:idx val="1"/>
              <c:layout>
                <c:manualLayout>
                  <c:x val="5.5803685074482745E-2"/>
                  <c:y val="3.339094808270917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6D-4907-AFA6-E7923485C5EE}"/>
                </c:ext>
              </c:extLst>
            </c:dLbl>
            <c:dLbl>
              <c:idx val="3"/>
              <c:layout>
                <c:manualLayout>
                  <c:x val="-7.3298922918916071E-2"/>
                  <c:y val="-5.9783055573337886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F6D-4907-AFA6-E7923485C5EE}"/>
                </c:ext>
              </c:extLst>
            </c:dLbl>
            <c:dLbl>
              <c:idx val="4"/>
              <c:layout>
                <c:manualLayout>
                  <c:x val="-0.11750313819468218"/>
                  <c:y val="-2.3785644680593787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F6D-4907-AFA6-E7923485C5EE}"/>
                </c:ext>
              </c:extLst>
            </c:dLbl>
            <c:dLbl>
              <c:idx val="5"/>
              <c:layout>
                <c:manualLayout>
                  <c:x val="-9.319999297746645E-2"/>
                  <c:y val="5.013763523462005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F6D-4907-AFA6-E7923485C5EE}"/>
                </c:ext>
              </c:extLst>
            </c:dLbl>
            <c:dLbl>
              <c:idx val="6"/>
              <c:layout>
                <c:manualLayout>
                  <c:x val="-9.9368323106768838E-2"/>
                  <c:y val="3.9291551970637814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F6D-4907-AFA6-E7923485C5EE}"/>
                </c:ext>
              </c:extLst>
            </c:dLbl>
            <c:dLbl>
              <c:idx val="7"/>
              <c:layout>
                <c:manualLayout>
                  <c:x val="-0.15427487951965871"/>
                  <c:y val="2.4455113842477009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F6D-4907-AFA6-E7923485C5EE}"/>
                </c:ext>
              </c:extLst>
            </c:dLbl>
            <c:dLbl>
              <c:idx val="8"/>
              <c:layout>
                <c:manualLayout>
                  <c:x val="-8.2491419341813046E-2"/>
                  <c:y val="-4.9616968610631156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F6D-4907-AFA6-E7923485C5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Arkusz2!$D$71:$L$71</c:f>
              <c:strCache>
                <c:ptCount val="9"/>
                <c:pt idx="0">
                  <c:v>urządzenia gospodarstwa domowego, urządzenia elektroniczne i sprzęt komputerowy ()</c:v>
                </c:pt>
                <c:pt idx="1">
                  <c:v>odzież i obuwie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  <c:pt idx="4">
                  <c:v>transportowe</c:v>
                </c:pt>
                <c:pt idx="5">
                  <c:v>bieżąca konserweacja, utrzymanie domu, drobne naprawy, pielęgnacja</c:v>
                </c:pt>
                <c:pt idx="6">
                  <c:v>telekomunikacyjne</c:v>
                </c:pt>
                <c:pt idx="7">
                  <c:v>sektor energetyczny i wodny</c:v>
                </c:pt>
                <c:pt idx="8">
                  <c:v>turystyka i rekreacja</c:v>
                </c:pt>
              </c:strCache>
            </c:strRef>
          </c:cat>
          <c:val>
            <c:numRef>
              <c:f>Arkusz2!$D$73:$L$73</c:f>
              <c:numCache>
                <c:formatCode>General</c:formatCode>
                <c:ptCount val="9"/>
                <c:pt idx="0">
                  <c:v>349</c:v>
                </c:pt>
                <c:pt idx="1">
                  <c:v>268</c:v>
                </c:pt>
                <c:pt idx="2">
                  <c:v>190</c:v>
                </c:pt>
                <c:pt idx="3">
                  <c:v>99</c:v>
                </c:pt>
                <c:pt idx="4">
                  <c:v>155</c:v>
                </c:pt>
                <c:pt idx="5">
                  <c:v>119</c:v>
                </c:pt>
                <c:pt idx="6">
                  <c:v>106</c:v>
                </c:pt>
                <c:pt idx="7">
                  <c:v>100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F6D-4907-AFA6-E7923485C5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wystąpienia w zakresie sprzedaży 2019-2024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Arkusz2!$D$140</c:f>
              <c:strCache>
                <c:ptCount val="1"/>
                <c:pt idx="0">
                  <c:v>2024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Arkusz2!$E$139:$H$139</c:f>
              <c:strCache>
                <c:ptCount val="4"/>
                <c:pt idx="0">
                  <c:v>odzież i obuwie</c:v>
                </c:pt>
                <c:pt idx="1">
                  <c:v>urządzenia gospodarstwa domowego, urządzenia elektroniczne i sprzęt komputerowy ()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Arkusz2!$E$140:$H$140</c:f>
              <c:numCache>
                <c:formatCode>General</c:formatCode>
                <c:ptCount val="4"/>
                <c:pt idx="0">
                  <c:v>81</c:v>
                </c:pt>
                <c:pt idx="1">
                  <c:v>45</c:v>
                </c:pt>
                <c:pt idx="2">
                  <c:v>22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D-4482-876B-2025C614812C}"/>
            </c:ext>
          </c:extLst>
        </c:ser>
        <c:ser>
          <c:idx val="1"/>
          <c:order val="1"/>
          <c:tx>
            <c:strRef>
              <c:f>Arkusz2!$D$141</c:f>
              <c:strCache>
                <c:ptCount val="1"/>
                <c:pt idx="0">
                  <c:v>2023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Arkusz2!$E$139:$H$139</c:f>
              <c:strCache>
                <c:ptCount val="4"/>
                <c:pt idx="0">
                  <c:v>odzież i obuwie</c:v>
                </c:pt>
                <c:pt idx="1">
                  <c:v>urządzenia gospodarstwa domowego, urządzenia elektroniczne i sprzęt komputerowy ()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Arkusz2!$E$141:$H$141</c:f>
              <c:numCache>
                <c:formatCode>General</c:formatCode>
                <c:ptCount val="4"/>
                <c:pt idx="0">
                  <c:v>90</c:v>
                </c:pt>
                <c:pt idx="1">
                  <c:v>50</c:v>
                </c:pt>
                <c:pt idx="2">
                  <c:v>33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0D-4482-876B-2025C614812C}"/>
            </c:ext>
          </c:extLst>
        </c:ser>
        <c:ser>
          <c:idx val="2"/>
          <c:order val="2"/>
          <c:tx>
            <c:strRef>
              <c:f>Arkusz2!$D$142</c:f>
              <c:strCache>
                <c:ptCount val="1"/>
                <c:pt idx="0">
                  <c:v>2022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Arkusz2!$E$139:$H$139</c:f>
              <c:strCache>
                <c:ptCount val="4"/>
                <c:pt idx="0">
                  <c:v>odzież i obuwie</c:v>
                </c:pt>
                <c:pt idx="1">
                  <c:v>urządzenia gospodarstwa domowego, urządzenia elektroniczne i sprzęt komputerowy ()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Arkusz2!$E$142:$H$142</c:f>
              <c:numCache>
                <c:formatCode>General</c:formatCode>
                <c:ptCount val="4"/>
                <c:pt idx="0">
                  <c:v>79</c:v>
                </c:pt>
                <c:pt idx="1">
                  <c:v>49</c:v>
                </c:pt>
                <c:pt idx="2">
                  <c:v>25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0D-4482-876B-2025C614812C}"/>
            </c:ext>
          </c:extLst>
        </c:ser>
        <c:ser>
          <c:idx val="3"/>
          <c:order val="3"/>
          <c:tx>
            <c:strRef>
              <c:f>Arkusz2!$D$143</c:f>
              <c:strCache>
                <c:ptCount val="1"/>
                <c:pt idx="0">
                  <c:v>2021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Arkusz2!$E$139:$H$139</c:f>
              <c:strCache>
                <c:ptCount val="4"/>
                <c:pt idx="0">
                  <c:v>odzież i obuwie</c:v>
                </c:pt>
                <c:pt idx="1">
                  <c:v>urządzenia gospodarstwa domowego, urządzenia elektroniczne i sprzęt komputerowy ()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Arkusz2!$E$143:$H$143</c:f>
              <c:numCache>
                <c:formatCode>General</c:formatCode>
                <c:ptCount val="4"/>
                <c:pt idx="0">
                  <c:v>68</c:v>
                </c:pt>
                <c:pt idx="1">
                  <c:v>47</c:v>
                </c:pt>
                <c:pt idx="2">
                  <c:v>24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0D-4482-876B-2025C614812C}"/>
            </c:ext>
          </c:extLst>
        </c:ser>
        <c:ser>
          <c:idx val="4"/>
          <c:order val="4"/>
          <c:tx>
            <c:strRef>
              <c:f>Arkusz2!$D$144</c:f>
              <c:strCache>
                <c:ptCount val="1"/>
                <c:pt idx="0">
                  <c:v>2020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Arkusz2!$E$139:$H$139</c:f>
              <c:strCache>
                <c:ptCount val="4"/>
                <c:pt idx="0">
                  <c:v>odzież i obuwie</c:v>
                </c:pt>
                <c:pt idx="1">
                  <c:v>urządzenia gospodarstwa domowego, urządzenia elektroniczne i sprzęt komputerowy ()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Arkusz2!$E$144:$H$144</c:f>
              <c:numCache>
                <c:formatCode>General</c:formatCode>
                <c:ptCount val="4"/>
                <c:pt idx="0">
                  <c:v>68</c:v>
                </c:pt>
                <c:pt idx="1">
                  <c:v>60</c:v>
                </c:pt>
                <c:pt idx="2">
                  <c:v>22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0D-4482-876B-2025C614812C}"/>
            </c:ext>
          </c:extLst>
        </c:ser>
        <c:ser>
          <c:idx val="5"/>
          <c:order val="5"/>
          <c:tx>
            <c:strRef>
              <c:f>Arkusz2!$D$145</c:f>
              <c:strCache>
                <c:ptCount val="1"/>
                <c:pt idx="0">
                  <c:v>2019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Arkusz2!$E$139:$H$139</c:f>
              <c:strCache>
                <c:ptCount val="4"/>
                <c:pt idx="0">
                  <c:v>odzież i obuwie</c:v>
                </c:pt>
                <c:pt idx="1">
                  <c:v>urządzenia gospodarstwa domowego, urządzenia elektroniczne i sprzęt komputerowy ()</c:v>
                </c:pt>
                <c:pt idx="2">
                  <c:v>meble i artykuły wyposażenia wnętrz</c:v>
                </c:pt>
                <c:pt idx="3">
                  <c:v>samochody i  środki transportu osobistego</c:v>
                </c:pt>
              </c:strCache>
            </c:strRef>
          </c:cat>
          <c:val>
            <c:numRef>
              <c:f>Arkusz2!$E$145:$H$145</c:f>
              <c:numCache>
                <c:formatCode>General</c:formatCode>
                <c:ptCount val="4"/>
                <c:pt idx="0">
                  <c:v>139</c:v>
                </c:pt>
                <c:pt idx="1">
                  <c:v>60</c:v>
                </c:pt>
                <c:pt idx="2">
                  <c:v>25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00D-4482-876B-2025C61481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121170527"/>
        <c:axId val="121167167"/>
      </c:barChart>
      <c:catAx>
        <c:axId val="1211705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167167"/>
        <c:crosses val="autoZero"/>
        <c:auto val="1"/>
        <c:lblAlgn val="ctr"/>
        <c:lblOffset val="100"/>
        <c:noMultiLvlLbl val="0"/>
      </c:catAx>
      <c:valAx>
        <c:axId val="121167167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11705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pattFill prst="ltDn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>
        <a:solidFill>
          <a:schemeClr val="phClr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5107</Words>
  <Characters>30645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2025-01-09T15:15:00Z</dcterms:created>
  <dcterms:modified xsi:type="dcterms:W3CDTF">2025-01-09T15:15:00Z</dcterms:modified>
</cp:coreProperties>
</file>