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4"/>
        </w:rPr>
      </w:pPr>
      <w:r>
        <w:rPr>
          <w:b/>
          <w:sz w:val="28"/>
          <w:szCs w:val="24"/>
        </w:rPr>
        <w:t xml:space="preserve">KOMISJA ROZWOJU </w:t>
      </w:r>
    </w:p>
    <w:p>
      <w:pPr>
        <w:pStyle w:val="Normal"/>
        <w:jc w:val="center"/>
        <w:rPr>
          <w:b/>
          <w:b/>
          <w:sz w:val="24"/>
          <w:szCs w:val="24"/>
        </w:rPr>
      </w:pPr>
      <w:r>
        <w:rPr>
          <w:b/>
          <w:sz w:val="24"/>
          <w:szCs w:val="24"/>
        </w:rPr>
        <w:t>-</w:t>
      </w:r>
      <w:r>
        <w:rPr>
          <w:b/>
          <w:sz w:val="28"/>
        </w:rPr>
        <w:t xml:space="preserve"> OPINIOWANIE PROJEKTU BUDŻETU NA 2025 ROK</w:t>
      </w:r>
    </w:p>
    <w:p>
      <w:pPr>
        <w:pStyle w:val="Normal"/>
        <w:jc w:val="center"/>
        <w:rPr>
          <w:b/>
          <w:b/>
          <w:sz w:val="24"/>
          <w:szCs w:val="24"/>
        </w:rPr>
      </w:pPr>
      <w:r>
        <w:rPr>
          <w:b/>
          <w:sz w:val="24"/>
          <w:szCs w:val="24"/>
        </w:rPr>
      </w:r>
    </w:p>
    <w:p>
      <w:pPr>
        <w:pStyle w:val="Normal"/>
        <w:spacing w:lineRule="auto" w:line="360" w:before="0" w:after="0"/>
        <w:ind w:firstLine="284"/>
        <w:jc w:val="both"/>
        <w:rPr>
          <w:sz w:val="24"/>
          <w:szCs w:val="24"/>
        </w:rPr>
      </w:pPr>
      <w:r>
        <w:rPr>
          <w:sz w:val="24"/>
          <w:szCs w:val="24"/>
        </w:rPr>
        <w:t xml:space="preserve">Obszar komisji to część inwestycyjna budżetu miasta. W projekcie na 2025 rok wydatki majątkowe zostały zaplanowane w kwocie </w:t>
      </w:r>
      <w:r>
        <w:rPr>
          <w:b/>
          <w:sz w:val="24"/>
          <w:szCs w:val="24"/>
        </w:rPr>
        <w:t>150 283 867,78 zł.</w:t>
      </w:r>
      <w:r>
        <w:rPr>
          <w:sz w:val="24"/>
          <w:szCs w:val="24"/>
        </w:rPr>
        <w:t xml:space="preserve"> Na zadania realizowane w cyklu </w:t>
      </w:r>
      <w:r>
        <w:rPr>
          <w:b/>
          <w:sz w:val="24"/>
          <w:szCs w:val="24"/>
        </w:rPr>
        <w:t>jednorocznym</w:t>
      </w:r>
      <w:r>
        <w:rPr>
          <w:sz w:val="24"/>
          <w:szCs w:val="24"/>
        </w:rPr>
        <w:t xml:space="preserve"> przeznaczono blisko </w:t>
      </w:r>
      <w:r>
        <w:rPr>
          <w:b/>
          <w:sz w:val="24"/>
          <w:szCs w:val="24"/>
        </w:rPr>
        <w:t>19,6 mln zł</w:t>
      </w:r>
      <w:r>
        <w:rPr>
          <w:sz w:val="24"/>
          <w:szCs w:val="24"/>
        </w:rPr>
        <w:t xml:space="preserve">, natomiast na </w:t>
      </w:r>
      <w:r>
        <w:rPr>
          <w:b/>
          <w:sz w:val="24"/>
          <w:szCs w:val="24"/>
        </w:rPr>
        <w:t>przedsięwzięcia wieloletnie</w:t>
      </w:r>
      <w:r>
        <w:rPr>
          <w:sz w:val="24"/>
          <w:szCs w:val="24"/>
        </w:rPr>
        <w:t xml:space="preserve"> ponad </w:t>
      </w:r>
      <w:r>
        <w:rPr>
          <w:b/>
          <w:sz w:val="24"/>
          <w:szCs w:val="24"/>
        </w:rPr>
        <w:t>130,7 mln zł</w:t>
      </w:r>
      <w:r>
        <w:rPr>
          <w:sz w:val="24"/>
          <w:szCs w:val="24"/>
        </w:rPr>
        <w:t xml:space="preserve">. </w:t>
      </w:r>
    </w:p>
    <w:p>
      <w:pPr>
        <w:pStyle w:val="Normal"/>
        <w:spacing w:lineRule="auto" w:line="360" w:before="0" w:after="0"/>
        <w:ind w:firstLine="284"/>
        <w:jc w:val="both"/>
        <w:rPr>
          <w:sz w:val="24"/>
          <w:szCs w:val="24"/>
          <w:highlight w:val="yellow"/>
        </w:rPr>
      </w:pPr>
      <w:r>
        <w:rPr>
          <w:sz w:val="24"/>
          <w:szCs w:val="24"/>
          <w:highlight w:val="yellow"/>
        </w:rPr>
      </w:r>
    </w:p>
    <w:p>
      <w:pPr>
        <w:pStyle w:val="Normal"/>
        <w:spacing w:lineRule="auto" w:line="360" w:before="0" w:after="0"/>
        <w:jc w:val="both"/>
        <w:rPr>
          <w:sz w:val="24"/>
          <w:szCs w:val="24"/>
        </w:rPr>
      </w:pPr>
      <w:r>
        <w:rPr>
          <w:sz w:val="24"/>
          <w:szCs w:val="24"/>
        </w:rPr>
        <w:t>Najwięcej środków zostało przeznaczone na inwestycje w zakresie:</w:t>
      </w:r>
    </w:p>
    <w:p>
      <w:pPr>
        <w:pStyle w:val="Normal"/>
        <w:spacing w:lineRule="auto" w:line="360" w:before="0" w:after="0"/>
        <w:jc w:val="both"/>
        <w:rPr>
          <w:sz w:val="24"/>
          <w:szCs w:val="24"/>
        </w:rPr>
      </w:pPr>
      <w:r>
        <w:rPr>
          <w:sz w:val="24"/>
          <w:szCs w:val="24"/>
        </w:rPr>
        <w:t>- budowy i przebudowy dróg (52,1 mln zł),</w:t>
      </w:r>
    </w:p>
    <w:p>
      <w:pPr>
        <w:pStyle w:val="Normal"/>
        <w:spacing w:lineRule="auto" w:line="360" w:before="0" w:after="0"/>
        <w:jc w:val="both"/>
        <w:rPr>
          <w:sz w:val="24"/>
          <w:szCs w:val="24"/>
        </w:rPr>
      </w:pPr>
      <w:r>
        <w:rPr>
          <w:sz w:val="24"/>
          <w:szCs w:val="24"/>
        </w:rPr>
        <w:t>- sportu, kultury i rekreacji (43,0 mln zł),</w:t>
      </w:r>
    </w:p>
    <w:p>
      <w:pPr>
        <w:pStyle w:val="Normal"/>
        <w:spacing w:lineRule="auto" w:line="360" w:before="0" w:after="0"/>
        <w:jc w:val="both"/>
        <w:rPr>
          <w:sz w:val="24"/>
          <w:szCs w:val="24"/>
        </w:rPr>
      </w:pPr>
      <w:r>
        <w:rPr>
          <w:sz w:val="24"/>
          <w:szCs w:val="24"/>
        </w:rPr>
        <w:t>- oświaty (22,1 mln zł),</w:t>
      </w:r>
    </w:p>
    <w:p>
      <w:pPr>
        <w:pStyle w:val="Normal"/>
        <w:spacing w:lineRule="auto" w:line="360" w:before="0" w:after="0"/>
        <w:jc w:val="both"/>
        <w:rPr>
          <w:sz w:val="24"/>
          <w:szCs w:val="24"/>
        </w:rPr>
      </w:pPr>
      <w:r>
        <w:rPr>
          <w:sz w:val="24"/>
          <w:szCs w:val="24"/>
        </w:rPr>
        <w:t>- gospodarki komunalnej (14,7 mln zł).</w:t>
      </w:r>
    </w:p>
    <w:p>
      <w:pPr>
        <w:pStyle w:val="Normal"/>
        <w:spacing w:lineRule="auto" w:line="360"/>
        <w:jc w:val="both"/>
        <w:rPr>
          <w:sz w:val="24"/>
          <w:szCs w:val="24"/>
          <w:highlight w:val="yellow"/>
        </w:rPr>
      </w:pPr>
      <w:r>
        <w:rPr>
          <w:sz w:val="24"/>
          <w:szCs w:val="24"/>
          <w:highlight w:val="yellow"/>
        </w:rPr>
      </w:r>
    </w:p>
    <w:p>
      <w:pPr>
        <w:pStyle w:val="Normal"/>
        <w:spacing w:lineRule="auto" w:line="240" w:before="0" w:after="0"/>
        <w:jc w:val="both"/>
        <w:rPr>
          <w:sz w:val="24"/>
          <w:szCs w:val="24"/>
        </w:rPr>
      </w:pPr>
      <w:r>
        <w:rPr>
          <w:sz w:val="24"/>
          <w:szCs w:val="24"/>
        </w:rPr>
        <w:t xml:space="preserve">Do </w:t>
      </w:r>
      <w:r>
        <w:rPr>
          <w:b/>
          <w:sz w:val="24"/>
          <w:szCs w:val="24"/>
        </w:rPr>
        <w:t>największych inwestycji</w:t>
      </w:r>
      <w:r>
        <w:rPr>
          <w:sz w:val="24"/>
          <w:szCs w:val="24"/>
        </w:rPr>
        <w:t xml:space="preserve"> pod względem wartościowym w 2025 roku należy zaliczyć: </w:t>
      </w:r>
    </w:p>
    <w:p>
      <w:pPr>
        <w:pStyle w:val="Normal"/>
        <w:spacing w:lineRule="auto" w:line="240" w:before="0" w:after="0"/>
        <w:jc w:val="both"/>
        <w:rPr>
          <w:sz w:val="24"/>
          <w:szCs w:val="24"/>
          <w:highlight w:val="yellow"/>
        </w:rPr>
      </w:pPr>
      <w:r>
        <w:rPr>
          <w:sz w:val="24"/>
          <w:szCs w:val="24"/>
          <w:highlight w:val="yellow"/>
        </w:rPr>
      </w:r>
    </w:p>
    <w:tbl>
      <w:tblPr>
        <w:tblStyle w:val="Tabela-Siatka"/>
        <w:tblW w:w="9096" w:type="dxa"/>
        <w:jc w:val="left"/>
        <w:tblInd w:w="0" w:type="dxa"/>
        <w:tblCellMar>
          <w:top w:w="0" w:type="dxa"/>
          <w:left w:w="108" w:type="dxa"/>
          <w:bottom w:w="0" w:type="dxa"/>
          <w:right w:w="108" w:type="dxa"/>
        </w:tblCellMar>
        <w:tblLook w:firstRow="1" w:noVBand="1" w:lastRow="0" w:firstColumn="1" w:lastColumn="0" w:noHBand="0" w:val="04a0"/>
      </w:tblPr>
      <w:tblGrid>
        <w:gridCol w:w="7224"/>
        <w:gridCol w:w="1871"/>
      </w:tblGrid>
      <w:tr>
        <w:trPr>
          <w:trHeight w:val="481" w:hRule="atLeast"/>
        </w:trPr>
        <w:tc>
          <w:tcPr>
            <w:tcW w:w="7224" w:type="dxa"/>
            <w:tcBorders/>
            <w:shd w:fill="auto" w:val="clear"/>
            <w:tcMar>
              <w:left w:w="108" w:type="dxa"/>
            </w:tcMar>
            <w:vAlign w:val="center"/>
          </w:tcPr>
          <w:p>
            <w:pPr>
              <w:pStyle w:val="Normal"/>
              <w:spacing w:lineRule="auto" w:line="240" w:before="0" w:after="0"/>
              <w:jc w:val="center"/>
              <w:rPr>
                <w:sz w:val="24"/>
                <w:szCs w:val="24"/>
              </w:rPr>
            </w:pPr>
            <w:r>
              <w:rPr>
                <w:sz w:val="24"/>
                <w:szCs w:val="24"/>
              </w:rPr>
              <w:t>"Kompleksowa przebudowa dróg na terenie gminy Sosnowiec"</w:t>
            </w:r>
          </w:p>
        </w:tc>
        <w:tc>
          <w:tcPr>
            <w:tcW w:w="1871" w:type="dxa"/>
            <w:tcBorders/>
            <w:shd w:fill="auto" w:val="clear"/>
            <w:tcMar>
              <w:left w:w="108" w:type="dxa"/>
            </w:tcMar>
            <w:vAlign w:val="center"/>
          </w:tcPr>
          <w:p>
            <w:pPr>
              <w:pStyle w:val="Normal"/>
              <w:spacing w:lineRule="auto" w:line="240" w:before="0" w:after="0"/>
              <w:jc w:val="right"/>
              <w:rPr>
                <w:sz w:val="24"/>
                <w:szCs w:val="24"/>
              </w:rPr>
            </w:pPr>
            <w:r>
              <w:rPr>
                <w:sz w:val="24"/>
                <w:szCs w:val="24"/>
              </w:rPr>
              <w:t>25 013 637,00 zł</w:t>
            </w:r>
          </w:p>
        </w:tc>
      </w:tr>
      <w:tr>
        <w:trPr>
          <w:trHeight w:val="979" w:hRule="atLeast"/>
        </w:trPr>
        <w:tc>
          <w:tcPr>
            <w:tcW w:w="7224" w:type="dxa"/>
            <w:tcBorders/>
            <w:shd w:fill="auto" w:val="clear"/>
            <w:tcMar>
              <w:left w:w="108" w:type="dxa"/>
            </w:tcMar>
            <w:vAlign w:val="center"/>
          </w:tcPr>
          <w:p>
            <w:pPr>
              <w:pStyle w:val="Normal"/>
              <w:spacing w:lineRule="auto" w:line="240" w:before="0" w:after="0"/>
              <w:jc w:val="center"/>
              <w:rPr>
                <w:sz w:val="24"/>
                <w:szCs w:val="24"/>
              </w:rPr>
            </w:pPr>
            <w:r>
              <w:rPr>
                <w:sz w:val="24"/>
                <w:szCs w:val="24"/>
              </w:rPr>
              <w:t xml:space="preserve">"Budowa boiska o nawierzchni z trawy syntetycznej wraz z zadaszeniem </w:t>
              <w:br/>
              <w:t>oraz infrastrukturą towarzyszącą na terenie Kompleksu Rekreacyjno - Sportowego przy ul. Hubala - Dobrzańskiego 99D w Sosnowcu"</w:t>
            </w:r>
          </w:p>
        </w:tc>
        <w:tc>
          <w:tcPr>
            <w:tcW w:w="1871" w:type="dxa"/>
            <w:tcBorders/>
            <w:shd w:fill="auto" w:val="clear"/>
            <w:tcMar>
              <w:left w:w="108" w:type="dxa"/>
            </w:tcMar>
            <w:vAlign w:val="center"/>
          </w:tcPr>
          <w:p>
            <w:pPr>
              <w:pStyle w:val="Normal"/>
              <w:spacing w:lineRule="auto" w:line="240" w:before="0" w:after="0"/>
              <w:jc w:val="right"/>
              <w:rPr>
                <w:sz w:val="24"/>
                <w:szCs w:val="24"/>
              </w:rPr>
            </w:pPr>
            <w:r>
              <w:rPr>
                <w:sz w:val="24"/>
                <w:szCs w:val="24"/>
              </w:rPr>
              <w:t>7 600 000,00 zł</w:t>
            </w:r>
          </w:p>
        </w:tc>
      </w:tr>
      <w:tr>
        <w:trPr>
          <w:trHeight w:val="737" w:hRule="atLeast"/>
        </w:trPr>
        <w:tc>
          <w:tcPr>
            <w:tcW w:w="7224" w:type="dxa"/>
            <w:tcBorders/>
            <w:shd w:fill="auto" w:val="clear"/>
            <w:tcMar>
              <w:left w:w="108" w:type="dxa"/>
            </w:tcMar>
            <w:vAlign w:val="center"/>
          </w:tcPr>
          <w:p>
            <w:pPr>
              <w:pStyle w:val="Normal"/>
              <w:spacing w:lineRule="auto" w:line="240" w:before="0" w:after="0"/>
              <w:jc w:val="center"/>
              <w:rPr>
                <w:sz w:val="24"/>
                <w:szCs w:val="24"/>
              </w:rPr>
            </w:pPr>
            <w:r>
              <w:rPr>
                <w:sz w:val="24"/>
                <w:szCs w:val="24"/>
              </w:rPr>
              <w:t>"Budowa drogi łączącej ul. Wiązową z ul. Gospodarczą w Sosnowcu wraz z przebudową istniejącej części ul. Gospodarczej oraz przebudową ul. Siennej" w ramach zadania "Kompleksowa przebudowa dróg na terenie Gminy Sosnowiec - etap II"</w:t>
            </w:r>
          </w:p>
        </w:tc>
        <w:tc>
          <w:tcPr>
            <w:tcW w:w="1871" w:type="dxa"/>
            <w:tcBorders/>
            <w:shd w:fill="auto" w:val="clear"/>
            <w:tcMar>
              <w:left w:w="108" w:type="dxa"/>
            </w:tcMar>
            <w:vAlign w:val="center"/>
          </w:tcPr>
          <w:p>
            <w:pPr>
              <w:pStyle w:val="Normal"/>
              <w:spacing w:lineRule="auto" w:line="240" w:before="0" w:after="0"/>
              <w:jc w:val="right"/>
              <w:rPr>
                <w:sz w:val="24"/>
                <w:szCs w:val="24"/>
              </w:rPr>
            </w:pPr>
            <w:r>
              <w:rPr>
                <w:sz w:val="24"/>
                <w:szCs w:val="24"/>
              </w:rPr>
              <w:t>6 563 700,00 zł</w:t>
            </w:r>
          </w:p>
        </w:tc>
      </w:tr>
      <w:tr>
        <w:trPr>
          <w:trHeight w:val="737" w:hRule="atLeast"/>
        </w:trPr>
        <w:tc>
          <w:tcPr>
            <w:tcW w:w="7224" w:type="dxa"/>
            <w:tcBorders/>
            <w:shd w:fill="auto" w:val="clear"/>
            <w:tcMar>
              <w:left w:w="108" w:type="dxa"/>
            </w:tcMar>
            <w:vAlign w:val="center"/>
          </w:tcPr>
          <w:p>
            <w:pPr>
              <w:pStyle w:val="Normal"/>
              <w:spacing w:lineRule="auto" w:line="240" w:before="0" w:after="0"/>
              <w:jc w:val="center"/>
              <w:rPr>
                <w:sz w:val="24"/>
                <w:szCs w:val="24"/>
                <w:highlight w:val="yellow"/>
              </w:rPr>
            </w:pPr>
            <w:r>
              <w:rPr>
                <w:sz w:val="24"/>
                <w:szCs w:val="24"/>
              </w:rPr>
              <w:t>"Przebudowa skrzyżowania ul. Wojska Polskiego z ul. Traugutta w Sosnowcu"</w:t>
            </w:r>
          </w:p>
        </w:tc>
        <w:tc>
          <w:tcPr>
            <w:tcW w:w="1871" w:type="dxa"/>
            <w:tcBorders/>
            <w:shd w:fill="auto" w:val="clear"/>
            <w:tcMar>
              <w:left w:w="108" w:type="dxa"/>
            </w:tcMar>
            <w:vAlign w:val="center"/>
          </w:tcPr>
          <w:p>
            <w:pPr>
              <w:pStyle w:val="Normal"/>
              <w:spacing w:lineRule="auto" w:line="240" w:before="0" w:after="0"/>
              <w:jc w:val="right"/>
              <w:rPr>
                <w:sz w:val="24"/>
                <w:szCs w:val="24"/>
              </w:rPr>
            </w:pPr>
            <w:r>
              <w:rPr>
                <w:sz w:val="24"/>
                <w:szCs w:val="24"/>
              </w:rPr>
              <w:t>6 073 900,00 zł</w:t>
            </w:r>
          </w:p>
        </w:tc>
      </w:tr>
      <w:tr>
        <w:trPr>
          <w:trHeight w:val="737" w:hRule="atLeast"/>
        </w:trPr>
        <w:tc>
          <w:tcPr>
            <w:tcW w:w="7224" w:type="dxa"/>
            <w:tcBorders/>
            <w:shd w:fill="auto" w:val="clear"/>
            <w:tcMar>
              <w:left w:w="108" w:type="dxa"/>
            </w:tcMar>
            <w:vAlign w:val="center"/>
          </w:tcPr>
          <w:p>
            <w:pPr>
              <w:pStyle w:val="Normal"/>
              <w:spacing w:lineRule="auto" w:line="240" w:before="0" w:after="0"/>
              <w:jc w:val="center"/>
              <w:rPr>
                <w:sz w:val="24"/>
                <w:szCs w:val="24"/>
              </w:rPr>
            </w:pPr>
            <w:r>
              <w:rPr>
                <w:sz w:val="24"/>
                <w:szCs w:val="24"/>
              </w:rPr>
              <w:t>"Rozbudowa skrzyżowania ul. Wileńskiej z ul. Łukasiewicza i ul. Minerów w Sosnowcu" w ramach zadania "Kompleksowa przebudowa dróg na terenie Gminy Sosnowiec - etap II"</w:t>
            </w:r>
          </w:p>
        </w:tc>
        <w:tc>
          <w:tcPr>
            <w:tcW w:w="1871" w:type="dxa"/>
            <w:tcBorders/>
            <w:shd w:fill="auto" w:val="clear"/>
            <w:tcMar>
              <w:left w:w="108" w:type="dxa"/>
            </w:tcMar>
            <w:vAlign w:val="center"/>
          </w:tcPr>
          <w:p>
            <w:pPr>
              <w:pStyle w:val="Normal"/>
              <w:spacing w:lineRule="auto" w:line="240" w:before="0" w:after="0"/>
              <w:jc w:val="right"/>
              <w:rPr>
                <w:sz w:val="24"/>
                <w:szCs w:val="24"/>
              </w:rPr>
            </w:pPr>
            <w:r>
              <w:rPr>
                <w:sz w:val="24"/>
                <w:szCs w:val="24"/>
              </w:rPr>
              <w:t>6 011 000,00 zł</w:t>
            </w:r>
          </w:p>
        </w:tc>
      </w:tr>
      <w:tr>
        <w:trPr>
          <w:trHeight w:val="551" w:hRule="atLeast"/>
        </w:trPr>
        <w:tc>
          <w:tcPr>
            <w:tcW w:w="7224" w:type="dxa"/>
            <w:tcBorders/>
            <w:shd w:fill="auto" w:val="clear"/>
            <w:tcMar>
              <w:left w:w="108" w:type="dxa"/>
            </w:tcMar>
            <w:vAlign w:val="center"/>
          </w:tcPr>
          <w:p>
            <w:pPr>
              <w:pStyle w:val="Normal"/>
              <w:spacing w:lineRule="auto" w:line="240" w:before="0" w:after="0"/>
              <w:jc w:val="center"/>
              <w:rPr>
                <w:sz w:val="24"/>
                <w:szCs w:val="24"/>
                <w:highlight w:val="yellow"/>
              </w:rPr>
            </w:pPr>
            <w:r>
              <w:rPr>
                <w:sz w:val="24"/>
                <w:szCs w:val="24"/>
              </w:rPr>
              <w:t>"Budowa żłobka miejskiego przy ul. Kukułek w Sosnowcu"</w:t>
            </w:r>
          </w:p>
        </w:tc>
        <w:tc>
          <w:tcPr>
            <w:tcW w:w="1871" w:type="dxa"/>
            <w:tcBorders/>
            <w:shd w:color="auto" w:fill="auto" w:val="clear"/>
            <w:tcMar>
              <w:left w:w="108" w:type="dxa"/>
            </w:tcMar>
            <w:vAlign w:val="center"/>
          </w:tcPr>
          <w:p>
            <w:pPr>
              <w:pStyle w:val="Normal"/>
              <w:spacing w:lineRule="auto" w:line="240" w:before="0" w:after="0"/>
              <w:jc w:val="right"/>
              <w:rPr>
                <w:sz w:val="24"/>
                <w:szCs w:val="24"/>
              </w:rPr>
            </w:pPr>
            <w:r>
              <w:rPr>
                <w:sz w:val="24"/>
                <w:szCs w:val="24"/>
              </w:rPr>
              <w:t>6 006 572,65 zł</w:t>
            </w:r>
          </w:p>
        </w:tc>
      </w:tr>
      <w:tr>
        <w:trPr>
          <w:trHeight w:val="609" w:hRule="atLeast"/>
        </w:trPr>
        <w:tc>
          <w:tcPr>
            <w:tcW w:w="7224" w:type="dxa"/>
            <w:tcBorders/>
            <w:shd w:fill="auto" w:val="clear"/>
            <w:tcMar>
              <w:left w:w="108" w:type="dxa"/>
            </w:tcMar>
            <w:vAlign w:val="center"/>
          </w:tcPr>
          <w:p>
            <w:pPr>
              <w:pStyle w:val="Normal"/>
              <w:spacing w:lineRule="auto" w:line="240" w:before="0" w:after="0"/>
              <w:jc w:val="center"/>
              <w:rPr>
                <w:sz w:val="24"/>
                <w:szCs w:val="24"/>
              </w:rPr>
            </w:pPr>
            <w:r>
              <w:rPr>
                <w:sz w:val="24"/>
                <w:szCs w:val="24"/>
              </w:rPr>
              <w:t>"Rozbudowa fragmentu ul. Jana Długosza w Sosnowcu" w ramach zadania "Kompleksowa przebudowa dróg na terenie Gminy Sosnowiec - etap II"</w:t>
            </w:r>
          </w:p>
        </w:tc>
        <w:tc>
          <w:tcPr>
            <w:tcW w:w="1871" w:type="dxa"/>
            <w:tcBorders/>
            <w:shd w:fill="auto" w:val="clear"/>
            <w:tcMar>
              <w:left w:w="108" w:type="dxa"/>
            </w:tcMar>
            <w:vAlign w:val="center"/>
          </w:tcPr>
          <w:p>
            <w:pPr>
              <w:pStyle w:val="Normal"/>
              <w:spacing w:lineRule="auto" w:line="240" w:before="0" w:after="0"/>
              <w:jc w:val="right"/>
              <w:rPr>
                <w:sz w:val="24"/>
                <w:szCs w:val="24"/>
              </w:rPr>
            </w:pPr>
            <w:r>
              <w:rPr>
                <w:sz w:val="24"/>
                <w:szCs w:val="24"/>
              </w:rPr>
              <w:t>5 981 050,00 zł</w:t>
            </w:r>
          </w:p>
        </w:tc>
      </w:tr>
    </w:tbl>
    <w:p>
      <w:pPr>
        <w:pStyle w:val="Normal"/>
        <w:spacing w:lineRule="auto" w:line="360"/>
        <w:ind w:firstLine="284"/>
        <w:jc w:val="both"/>
        <w:rPr>
          <w:sz w:val="24"/>
          <w:szCs w:val="24"/>
        </w:rPr>
      </w:pPr>
      <w:r>
        <w:rPr>
          <w:sz w:val="24"/>
          <w:szCs w:val="24"/>
        </w:rPr>
      </w:r>
    </w:p>
    <w:p>
      <w:pPr>
        <w:pStyle w:val="Normal"/>
        <w:spacing w:lineRule="auto" w:line="360"/>
        <w:ind w:firstLine="284"/>
        <w:jc w:val="both"/>
        <w:rPr>
          <w:b/>
          <w:b/>
          <w:sz w:val="24"/>
          <w:szCs w:val="24"/>
        </w:rPr>
      </w:pPr>
      <w:r>
        <w:rPr>
          <w:sz w:val="24"/>
          <w:szCs w:val="24"/>
        </w:rPr>
        <w:t xml:space="preserve">W ramach wydatków majątkowych przeznaczono </w:t>
      </w:r>
      <w:r>
        <w:rPr>
          <w:b/>
          <w:sz w:val="24"/>
          <w:szCs w:val="24"/>
        </w:rPr>
        <w:t>5 340 000,00 zł</w:t>
      </w:r>
      <w:r>
        <w:rPr>
          <w:sz w:val="24"/>
          <w:szCs w:val="24"/>
        </w:rPr>
        <w:t xml:space="preserve"> na </w:t>
      </w:r>
      <w:r>
        <w:rPr>
          <w:b/>
          <w:sz w:val="24"/>
          <w:szCs w:val="24"/>
        </w:rPr>
        <w:t>zadania</w:t>
      </w:r>
      <w:r>
        <w:rPr>
          <w:sz w:val="24"/>
          <w:szCs w:val="24"/>
        </w:rPr>
        <w:t xml:space="preserve"> wyłonione </w:t>
        <w:br/>
        <w:t xml:space="preserve">w ramach kolejnej edycji </w:t>
      </w:r>
      <w:r>
        <w:rPr>
          <w:b/>
          <w:sz w:val="24"/>
          <w:szCs w:val="24"/>
        </w:rPr>
        <w:t>budżetu obywatelskiego</w:t>
      </w:r>
      <w:r>
        <w:rPr>
          <w:sz w:val="24"/>
          <w:szCs w:val="24"/>
        </w:rPr>
        <w:t xml:space="preserve"> </w:t>
      </w:r>
      <w:r>
        <w:rPr>
          <w:b/>
          <w:sz w:val="24"/>
          <w:szCs w:val="24"/>
        </w:rPr>
        <w:t>o zakresie inwestycyjnym.</w:t>
      </w:r>
    </w:p>
    <w:p>
      <w:pPr>
        <w:pStyle w:val="Normal"/>
        <w:spacing w:lineRule="auto" w:line="360"/>
        <w:jc w:val="both"/>
        <w:rPr>
          <w:sz w:val="24"/>
          <w:szCs w:val="24"/>
        </w:rPr>
      </w:pPr>
      <w:r>
        <w:rPr>
          <w:sz w:val="24"/>
          <w:szCs w:val="24"/>
        </w:rPr>
        <w:t xml:space="preserve">Na </w:t>
      </w:r>
      <w:r>
        <w:rPr>
          <w:b/>
          <w:sz w:val="24"/>
          <w:szCs w:val="24"/>
        </w:rPr>
        <w:t>dokapitalizowanie miejskich spółek komunalnych</w:t>
      </w:r>
      <w:r>
        <w:rPr>
          <w:sz w:val="24"/>
          <w:szCs w:val="24"/>
        </w:rPr>
        <w:t xml:space="preserve"> przeznaczono łącznie blisko </w:t>
      </w:r>
      <w:r>
        <w:rPr>
          <w:b/>
          <w:bCs/>
          <w:sz w:val="24"/>
          <w:szCs w:val="24"/>
        </w:rPr>
        <w:t>31,5</w:t>
      </w:r>
      <w:r>
        <w:rPr>
          <w:b/>
          <w:sz w:val="24"/>
          <w:szCs w:val="24"/>
        </w:rPr>
        <w:t> mln zł</w:t>
      </w:r>
      <w:r>
        <w:rPr>
          <w:sz w:val="24"/>
          <w:szCs w:val="24"/>
        </w:rPr>
        <w:t xml:space="preserve">. </w:t>
      </w:r>
    </w:p>
    <w:p>
      <w:pPr>
        <w:pStyle w:val="Normal"/>
        <w:spacing w:lineRule="auto" w:line="360"/>
        <w:ind w:firstLine="284"/>
        <w:jc w:val="both"/>
        <w:rPr>
          <w:sz w:val="24"/>
          <w:szCs w:val="24"/>
        </w:rPr>
      </w:pPr>
      <w:r>
        <w:rPr>
          <w:sz w:val="24"/>
          <w:szCs w:val="24"/>
        </w:rPr>
        <w:t xml:space="preserve">Podczas prac planistycznych w zakresie projektu 2025 roku zabezpieczono niezbędne środki na kontynuację rozpoczętych zadań inwestycyjnych, a także przygotowanie nowych inwestycji. Zaplanowano środki zgodnie z zawartymi umowami i zaciągniętymi zobowiązaniami, a także ujęto zadania przewidziane do realizacji. </w:t>
      </w:r>
    </w:p>
    <w:p>
      <w:pPr>
        <w:pStyle w:val="Normal"/>
        <w:spacing w:lineRule="auto" w:line="360"/>
        <w:ind w:firstLine="284"/>
        <w:jc w:val="both"/>
        <w:rPr>
          <w:sz w:val="24"/>
          <w:szCs w:val="24"/>
        </w:rPr>
      </w:pPr>
      <w:r>
        <w:rPr>
          <w:sz w:val="24"/>
          <w:szCs w:val="24"/>
        </w:rPr>
        <w:t>Pragnę podkreślić, że w ciągu roku plan wydatków majątkowych będzie ulegał zmianie stosownie do harmonogramu prac w ramach inwestycji, pojawiających się nowych potrzeb inwestycyjnych, pozyskiwanych środków zewnętrznych oraz innych informacji posiadanych na dany moment. Dokładamy wszelkich starań, aby potencjał inwestycyjny gminy Sosnowiec był możliwie jak najwyższy, umiejętnie pozyskując środki zewnętrzne.</w:t>
      </w:r>
    </w:p>
    <w:p>
      <w:pPr>
        <w:pStyle w:val="Normal"/>
        <w:spacing w:lineRule="auto" w:line="360" w:before="0" w:after="0"/>
        <w:jc w:val="both"/>
        <w:rPr>
          <w:sz w:val="24"/>
          <w:szCs w:val="24"/>
        </w:rPr>
      </w:pPr>
      <w:r>
        <w:rPr>
          <w:sz w:val="24"/>
          <w:szCs w:val="24"/>
        </w:rPr>
        <w:t xml:space="preserve">     </w:t>
      </w:r>
      <w:r>
        <w:rPr>
          <w:sz w:val="24"/>
          <w:szCs w:val="24"/>
        </w:rPr>
        <w:t xml:space="preserve">W projekcie 2025 </w:t>
      </w:r>
      <w:r>
        <w:rPr>
          <w:b/>
          <w:sz w:val="24"/>
          <w:szCs w:val="24"/>
        </w:rPr>
        <w:t>dochody majątkowe</w:t>
      </w:r>
      <w:r>
        <w:rPr>
          <w:sz w:val="24"/>
          <w:szCs w:val="24"/>
        </w:rPr>
        <w:t xml:space="preserve"> zaplanowano na poziomie </w:t>
      </w:r>
      <w:r>
        <w:rPr>
          <w:b/>
          <w:sz w:val="24"/>
          <w:szCs w:val="24"/>
        </w:rPr>
        <w:t>102,6 mln</w:t>
      </w:r>
      <w:r>
        <w:rPr>
          <w:sz w:val="24"/>
          <w:szCs w:val="24"/>
        </w:rPr>
        <w:t xml:space="preserve"> </w:t>
      </w:r>
      <w:r>
        <w:rPr>
          <w:b/>
          <w:sz w:val="24"/>
          <w:szCs w:val="24"/>
        </w:rPr>
        <w:t>zł</w:t>
      </w:r>
      <w:r>
        <w:rPr>
          <w:sz w:val="24"/>
          <w:szCs w:val="24"/>
        </w:rPr>
        <w:t>.  Z tytułu dofinansowania do zadań inwestycyjnych z udziałem środków unijnych przewiduje się uzyskać kwotę ponad 12,8 mln zł, w tym blisko 5,2 mln zł z instrumentu na rzecz Odbudowy i Zwiększenia Odporności (KPO). Poza tym przewiduje się wpływy z:</w:t>
      </w:r>
    </w:p>
    <w:p>
      <w:pPr>
        <w:pStyle w:val="Default"/>
        <w:spacing w:lineRule="auto" w:line="360"/>
        <w:jc w:val="both"/>
        <w:rPr>
          <w:color w:val="00000A"/>
        </w:rPr>
      </w:pPr>
      <w:r>
        <w:rPr>
          <w:color w:val="00000A"/>
        </w:rPr>
        <w:t xml:space="preserve">- Rządowego Programu Odbudowy Zabytków w kwocie 2,2 mln zł, </w:t>
      </w:r>
    </w:p>
    <w:p>
      <w:pPr>
        <w:pStyle w:val="Default"/>
        <w:spacing w:lineRule="auto" w:line="360"/>
        <w:jc w:val="both"/>
        <w:rPr>
          <w:color w:val="00000A"/>
        </w:rPr>
      </w:pPr>
      <w:r>
        <w:rPr>
          <w:color w:val="00000A"/>
        </w:rPr>
        <w:t xml:space="preserve">- Narodowego Funduszu Ochrony Środowiska i Gospodarki Wodnej w kwocie blisko 2 mln zł, </w:t>
      </w:r>
    </w:p>
    <w:p>
      <w:pPr>
        <w:pStyle w:val="Default"/>
        <w:spacing w:lineRule="auto" w:line="360"/>
        <w:jc w:val="both"/>
        <w:rPr>
          <w:color w:val="00000A"/>
        </w:rPr>
      </w:pPr>
      <w:r>
        <w:rPr>
          <w:color w:val="00000A"/>
        </w:rPr>
        <w:t xml:space="preserve">- Funduszu Rozwoju Kultury Fizycznej w kwocie około 3,5 mln zł, </w:t>
      </w:r>
    </w:p>
    <w:p>
      <w:pPr>
        <w:pStyle w:val="Normal"/>
        <w:spacing w:lineRule="auto" w:line="360" w:before="0" w:after="0"/>
        <w:jc w:val="both"/>
        <w:rPr>
          <w:sz w:val="24"/>
          <w:szCs w:val="24"/>
        </w:rPr>
      </w:pPr>
      <w:r>
        <w:rPr>
          <w:sz w:val="24"/>
          <w:szCs w:val="24"/>
        </w:rPr>
        <w:t>- Rządowego Funduszu Polski Ład: Program Inwestycji Strategicznych na realizację zadań inwestycyjnych w kwocie blisko 58,8 mln zł.</w:t>
      </w:r>
    </w:p>
    <w:p>
      <w:pPr>
        <w:pStyle w:val="Normal"/>
        <w:spacing w:lineRule="auto" w:line="360" w:before="0" w:after="0"/>
        <w:jc w:val="both"/>
        <w:rPr/>
      </w:pPr>
      <w:r>
        <w:rPr>
          <w:sz w:val="24"/>
          <w:szCs w:val="24"/>
        </w:rPr>
        <w:t>W projekcie budżetu na 2025 rok zaplanowano również wpływy ze sprzedaży mienia komunalnego w kwocie około 21,7 mln zł i wpływy z tytułu przekształcenia prawa użytkowania wieczystego w prawo własności w kwocie ponad 1,6 mln zł.</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Times New Roman" w:hAnsi="Times New Roman" w:eastAsia="Calibri" w:cs="" w:cstheme="minorBidi" w:eastAsia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a259b3"/>
    <w:rPr>
      <w:rFonts w:ascii="Tahoma" w:hAnsi="Tahoma" w:cs="Tahoma"/>
      <w:sz w:val="16"/>
      <w:szCs w:val="16"/>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a259b3"/>
    <w:pPr>
      <w:spacing w:lineRule="auto" w:line="240" w:before="0" w:after="0"/>
    </w:pPr>
    <w:rPr>
      <w:rFonts w:ascii="Tahoma" w:hAnsi="Tahoma" w:cs="Tahoma"/>
      <w:sz w:val="16"/>
      <w:szCs w:val="16"/>
    </w:rPr>
  </w:style>
  <w:style w:type="paragraph" w:styleId="Default" w:customStyle="1">
    <w:name w:val="Default"/>
    <w:qFormat/>
    <w:rsid w:val="000600e5"/>
    <w:pPr>
      <w:widowControl/>
      <w:bidi w:val="0"/>
      <w:spacing w:lineRule="auto" w:line="240" w:before="0" w:after="0"/>
      <w:jc w:val="left"/>
    </w:pPr>
    <w:rPr>
      <w:rFonts w:cs="Times New Roman" w:ascii="Times New Roman" w:hAnsi="Times New Roman" w:eastAsia="Calibri"/>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db3b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Application>LibreOffice/5.4.1.2$Windows_x86 LibreOffice_project/ea7cb86e6eeb2bf3a5af73a8f7777ac570321527</Application>
  <Pages>2</Pages>
  <Words>513</Words>
  <Characters>3006</Characters>
  <CharactersWithSpaces>3502</CharactersWithSpaces>
  <Paragraphs>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2022-11-17T08:17:00Z</dcterms:created>
  <dc:creator>BASIA</dc:creator>
  <dc:description/>
  <dc:language>pl-PL</dc:language>
  <cp:lastModifiedBy>kgromadko</cp:lastModifiedBy>
  <cp:lastPrinted>2023-11-16T14:06:00Z</cp:lastPrinted>
  <dcterms:modified xsi:type="dcterms:W3CDTF">2024-11-19T09:13:00Z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