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notes.xml" ContentType="application/vnd.openxmlformats-officedocument.wordprocessingml.footnotes+xml"/>
  <Override PartName="/word/media/image1.png" ContentType="image/png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ab/>
        <w:tab/>
        <w:tab/>
        <w:tab/>
        <w:tab/>
        <w:tab/>
        <w:tab/>
        <w:tab/>
        <w:tab/>
        <w:t>Sosnowiec, dnia 17.09.2024 r.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WRP.0053.10.2024.RO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cstheme="minorHAnsi"/>
          <w:i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cstheme="minorHAnsi"/>
          <w:i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cstheme="minorHAnsi"/>
          <w:i/>
        </w:rPr>
      </w:r>
    </w:p>
    <w:p>
      <w:pPr>
        <w:pStyle w:val="Normal"/>
        <w:ind w:left="5103" w:hanging="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/>
          <w:b/>
        </w:rPr>
        <w:t>Szanowny Pan</w:t>
        <w:br/>
        <w:t>Wojciech Nitwinko</w:t>
      </w:r>
    </w:p>
    <w:p>
      <w:pPr>
        <w:pStyle w:val="Wcicietrecitekstu"/>
        <w:ind w:left="5103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Przewodniczący</w:t>
      </w:r>
    </w:p>
    <w:p>
      <w:pPr>
        <w:pStyle w:val="Wcicietrecitekstu"/>
        <w:ind w:left="5103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Komisja Rozwoju Miasta i Ochrony Środowiska</w:t>
        <w:br/>
        <w:t>w/m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Tretekstu"/>
        <w:spacing w:lineRule="auto" w:line="360"/>
        <w:ind w:firstLine="708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Wydział Rozwoju i Przedsiębiorczości przekazuje w załączeniu materiał własny dotyczący punktu nr 1 posiedzenia Komisji w dniu 23.09.2024 r. W związku z tym, że zagadnieniami bezpośrednio związanymi z rynkiem pracy zajmuje się Powiatowy Urząd Pracy zakres naszego materiału obejmuje zagadnienia okołorynkowe związanych z demografią i potencjałem gospodarczym naszego miasta.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bookmarkStart w:id="0" w:name="_Hlk177466153"/>
      <w:bookmarkStart w:id="1" w:name="_Hlk177466153"/>
      <w:bookmarkEnd w:id="1"/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agwek1"/>
        <w:jc w:val="both"/>
        <w:rPr>
          <w:rFonts w:ascii="Calibri" w:hAnsi="Calibri" w:cs="Calibri" w:asciiTheme="minorHAnsi" w:cstheme="minorHAnsi" w:hAnsiTheme="minorHAnsi"/>
          <w:szCs w:val="28"/>
        </w:rPr>
      </w:pPr>
      <w:r>
        <w:rPr>
          <w:rFonts w:cs="Calibri" w:ascii="Calibri" w:hAnsi="Calibri" w:asciiTheme="minorHAnsi" w:cstheme="minorHAnsi" w:hAnsiTheme="minorHAnsi"/>
          <w:szCs w:val="28"/>
        </w:rPr>
        <w:t>Rynek pracy w Sosnowcu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Ze względu na specyfikę otoczenia sosnowiecki rynek pracy należy analizować nie tylko pod kątem miasta na prawach powiatu, ale również przez pryzmat członkostwa w Górnośląsko – Zagłębiowskiej Metropolii czyli 41 miast i gmin o łącznej powierzchni 2,5 tys. km kw., w których mieszka 2,14 mln mieszkańców, działa kilkaset tysięcy firm, które dość znaczącą wpływają na PKB całego kraju.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Sosnowiec to miasto  z rozległymi terenami należącymi do Katowickiej Specjalnej Strefy Ekonomicznej (w ramach Podstrefy Sosnowieckiej), na której działają chętnie zatrudniające firmy produkcyjne</w:t>
        <w:br/>
        <w:t>i logistyczne. Wraz z pozostałą tkanką miejską wyłania się obraz zdywersyfikowanej gospodarki</w:t>
        <w:br/>
        <w:t>z wiodącą rolą sektora usługowego. Warto podkreślić, że istotnym elementem wizerunku miasta jest działalność dużych pracodawców, będących jednocześnie częścią znaczących marek międzynarodowych i sieci biznesowych.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Szansą na rozwój rynku pracy należy upatrywać w możliwościach wykorzystania korzystnego salda migracji zagranicznych, zwłaszcza w przypadku pojawiających się niedoborów pracowników.   Istotne jest tu wykorzystanie potencjału organizacyjnego JST oraz instytucji otoczenia biznesu do  przeciwdziałania kryzysowym sytuacjom i wahaniom na rynku pracy.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Mając świadomość specyfiki obszaru, w którym się znajdujemy można dokonać analizy rynku pracy. Do tego zagadnienia niezbędne jest zapoznanie się z potencjałem ludnościowym i gospodarczym, które w sposób bezpośredni kształtują relacje i determinuje rozwój w tym zakresie. </w:t>
      </w:r>
    </w:p>
    <w:p>
      <w:pPr>
        <w:pStyle w:val="Nagwek1"/>
        <w:jc w:val="both"/>
        <w:rPr>
          <w:rFonts w:ascii="Calibri" w:hAnsi="Calibri" w:cs="Calibri" w:asciiTheme="minorHAnsi" w:cstheme="minorHAnsi" w:hAnsiTheme="minorHAnsi"/>
          <w:szCs w:val="28"/>
        </w:rPr>
      </w:pPr>
      <w:r>
        <w:rPr>
          <w:rFonts w:cs="Calibri" w:ascii="Calibri" w:hAnsi="Calibri" w:asciiTheme="minorHAnsi" w:cstheme="minorHAnsi" w:hAnsiTheme="minorHAnsi"/>
          <w:szCs w:val="28"/>
        </w:rPr>
        <w:t>Potencjał ludnościowy Sosnowca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Depopulacja oznacza zmniejszanie się liczby ludności zamieszkującej dany teren pod wpływem przewagi liczby zgonów nad liczbą urodzeń lub ujemnego salda migracji. Na wysokość ubytku naturalnego w  ostatnich latach w istotny w istotny sposób wpłynęła pandemia SARS-COV-2, generując falę ponadnormatywnych zgonów. Widać to wyraźnie na poniższym wykresie: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/>
        <w:drawing>
          <wp:inline distT="0" distB="0" distL="0" distR="0">
            <wp:extent cx="5686425" cy="2924175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Źródło: Bank Danych Lokalnych GUS 2016-2023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Pozytywne zjawiskiem na które należy wskazać jest fakt zmniejszającej się liczby zgonów po 2021 r. </w:t>
        <w:br/>
        <w:t>co wpływa na  poprawę ogólnego wskaźnika przyrostu naturalnego, który jednak pozostaje ujemny gdyż pogłębia się tendencja związana z malejącą liczbą urodzeń, co wykazuje poniższy wykres 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/>
        <w:drawing>
          <wp:inline distT="0" distB="0" distL="0" distR="0">
            <wp:extent cx="5661025" cy="3519805"/>
            <wp:effectExtent l="0" t="0" r="0" b="0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Źródło: Bank Danych Lokalnych GUS 2016-2023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W konsekwencji liczba ludności naszego miasta stopniowo maleje, co zostało zobrazowane na poniższej grafice: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/>
        <w:drawing>
          <wp:inline distT="0" distB="0" distL="0" distR="0">
            <wp:extent cx="5469255" cy="2898140"/>
            <wp:effectExtent l="0" t="0" r="0" b="0"/>
            <wp:docPr id="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2" w:name="_Hlk166829939"/>
      <w:bookmarkEnd w:id="2"/>
      <w:r>
        <w:rPr>
          <w:rFonts w:cs="Calibri" w:cstheme="minorHAnsi"/>
          <w:sz w:val="18"/>
          <w:szCs w:val="18"/>
        </w:rPr>
        <w:t xml:space="preserve">Źródło: Bank Danych Lokalnych GUS 2016-2023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Według danych Wydziału Spraw Obywatelskich Urzędu Miasta rzeczywista liczba mieszkańców jest niższa niż ta wynikająca ze statystyk GUS. Wartości liczbowe przedstawiono w poniższej tabeli. Wyraźnie widać to, że w na przestrzeni kilku lat potencjał demograficzny miasta zmniejszył </w:t>
        <w:br/>
        <w:t>się o 9903 osoby co przekłada się na ubytek 5,27%. w skali 4 lat.</w:t>
      </w:r>
    </w:p>
    <w:tbl>
      <w:tblPr>
        <w:tblW w:w="7507" w:type="dxa"/>
        <w:jc w:val="center"/>
        <w:tblInd w:w="0" w:type="dxa"/>
        <w:tblBorders>
          <w:top w:val="single" w:sz="8" w:space="0" w:color="5F497A"/>
          <w:left w:val="single" w:sz="8" w:space="0" w:color="5F497A"/>
          <w:bottom w:val="single" w:sz="8" w:space="0" w:color="5F497A"/>
          <w:right w:val="single" w:sz="8" w:space="0" w:color="5F497A"/>
          <w:insideH w:val="single" w:sz="8" w:space="0" w:color="5F497A"/>
          <w:insideV w:val="single" w:sz="8" w:space="0" w:color="5F497A"/>
        </w:tblBorders>
        <w:tblCellMar>
          <w:top w:w="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2972"/>
        <w:gridCol w:w="1133"/>
        <w:gridCol w:w="1134"/>
        <w:gridCol w:w="1133"/>
        <w:gridCol w:w="1135"/>
      </w:tblGrid>
      <w:tr>
        <w:trPr>
          <w:trHeight w:val="330" w:hRule="atLeast"/>
        </w:trPr>
        <w:tc>
          <w:tcPr>
            <w:tcW w:w="2972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  <w:insideH w:val="single" w:sz="8" w:space="0" w:color="5F497A"/>
              <w:insideV w:val="single" w:sz="8" w:space="0" w:color="5F497A"/>
            </w:tcBorders>
            <w:shd w:color="auto" w:fill="D9D9D9" w:themeFill="background1" w:themeFillShade="d9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133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  <w:insideH w:val="single" w:sz="8" w:space="0" w:color="5F497A"/>
              <w:insideV w:val="single" w:sz="8" w:space="0" w:color="5F497A"/>
            </w:tcBorders>
            <w:shd w:color="auto" w:fill="D9D9D9" w:themeFill="background1" w:themeFillShade="d9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2020 r.</w:t>
            </w:r>
          </w:p>
        </w:tc>
        <w:tc>
          <w:tcPr>
            <w:tcW w:w="1134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  <w:insideH w:val="single" w:sz="8" w:space="0" w:color="5F497A"/>
              <w:insideV w:val="single" w:sz="8" w:space="0" w:color="5F497A"/>
            </w:tcBorders>
            <w:shd w:color="auto" w:fill="D9D9D9" w:themeFill="background1" w:themeFillShade="d9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2021 r.</w:t>
            </w:r>
          </w:p>
        </w:tc>
        <w:tc>
          <w:tcPr>
            <w:tcW w:w="1133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  <w:insideH w:val="single" w:sz="8" w:space="0" w:color="5F497A"/>
              <w:insideV w:val="single" w:sz="8" w:space="0" w:color="5F497A"/>
            </w:tcBorders>
            <w:shd w:color="auto" w:fill="D9D9D9" w:themeFill="background1" w:themeFillShade="d9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2022 r.</w:t>
            </w:r>
          </w:p>
        </w:tc>
        <w:tc>
          <w:tcPr>
            <w:tcW w:w="1135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  <w:insideH w:val="single" w:sz="8" w:space="0" w:color="5F497A"/>
              <w:insideV w:val="single" w:sz="8" w:space="0" w:color="5F497A"/>
            </w:tcBorders>
            <w:shd w:color="auto" w:fill="D9D9D9" w:themeFill="background1" w:themeFillShade="d9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2023 r.</w:t>
            </w:r>
          </w:p>
        </w:tc>
      </w:tr>
      <w:tr>
        <w:trPr>
          <w:trHeight w:val="330" w:hRule="atLeast"/>
        </w:trPr>
        <w:tc>
          <w:tcPr>
            <w:tcW w:w="2972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  <w:insideH w:val="single" w:sz="8" w:space="0" w:color="5F497A"/>
              <w:insideV w:val="single" w:sz="8" w:space="0" w:color="5F497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/>
                <w:b/>
                <w:bCs/>
              </w:rPr>
              <w:t>Zameldowani na pobyt stały</w:t>
            </w:r>
          </w:p>
        </w:tc>
        <w:tc>
          <w:tcPr>
            <w:tcW w:w="1133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  <w:insideH w:val="single" w:sz="8" w:space="0" w:color="5F497A"/>
              <w:insideV w:val="single" w:sz="8" w:space="0" w:color="5F497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184.546</w:t>
            </w:r>
          </w:p>
        </w:tc>
        <w:tc>
          <w:tcPr>
            <w:tcW w:w="1134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  <w:insideH w:val="single" w:sz="8" w:space="0" w:color="5F497A"/>
              <w:insideV w:val="single" w:sz="8" w:space="0" w:color="5F497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180.579</w:t>
            </w:r>
          </w:p>
        </w:tc>
        <w:tc>
          <w:tcPr>
            <w:tcW w:w="1133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  <w:insideH w:val="single" w:sz="8" w:space="0" w:color="5F497A"/>
              <w:insideV w:val="single" w:sz="8" w:space="0" w:color="5F497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177.340</w:t>
            </w:r>
          </w:p>
        </w:tc>
        <w:tc>
          <w:tcPr>
            <w:tcW w:w="1135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  <w:insideH w:val="single" w:sz="8" w:space="0" w:color="5F497A"/>
              <w:insideV w:val="single" w:sz="8" w:space="0" w:color="5F497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174.504</w:t>
            </w:r>
          </w:p>
        </w:tc>
      </w:tr>
      <w:tr>
        <w:trPr>
          <w:trHeight w:val="511" w:hRule="atLeast"/>
        </w:trPr>
        <w:tc>
          <w:tcPr>
            <w:tcW w:w="2972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  <w:insideH w:val="single" w:sz="8" w:space="0" w:color="5F497A"/>
              <w:insideV w:val="single" w:sz="8" w:space="0" w:color="5F497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/>
                <w:b/>
                <w:bCs/>
              </w:rPr>
              <w:t>Zameldowani na pobyt czasowy</w:t>
            </w:r>
          </w:p>
        </w:tc>
        <w:tc>
          <w:tcPr>
            <w:tcW w:w="1133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  <w:insideH w:val="single" w:sz="8" w:space="0" w:color="5F497A"/>
              <w:insideV w:val="single" w:sz="8" w:space="0" w:color="5F497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3.292</w:t>
            </w:r>
          </w:p>
        </w:tc>
        <w:tc>
          <w:tcPr>
            <w:tcW w:w="1134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  <w:insideH w:val="single" w:sz="8" w:space="0" w:color="5F497A"/>
              <w:insideV w:val="single" w:sz="8" w:space="0" w:color="5F497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3.609</w:t>
            </w:r>
          </w:p>
        </w:tc>
        <w:tc>
          <w:tcPr>
            <w:tcW w:w="1133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  <w:insideH w:val="single" w:sz="8" w:space="0" w:color="5F497A"/>
              <w:insideV w:val="single" w:sz="8" w:space="0" w:color="5F497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3.443</w:t>
            </w:r>
          </w:p>
        </w:tc>
        <w:tc>
          <w:tcPr>
            <w:tcW w:w="1135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  <w:insideH w:val="single" w:sz="8" w:space="0" w:color="5F497A"/>
              <w:insideV w:val="single" w:sz="8" w:space="0" w:color="5F497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3.431</w:t>
            </w:r>
          </w:p>
        </w:tc>
      </w:tr>
      <w:tr>
        <w:trPr>
          <w:trHeight w:val="330" w:hRule="atLeast"/>
        </w:trPr>
        <w:tc>
          <w:tcPr>
            <w:tcW w:w="2972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  <w:insideH w:val="single" w:sz="8" w:space="0" w:color="5F497A"/>
              <w:insideV w:val="single" w:sz="8" w:space="0" w:color="5F497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cstheme="minorHAnsi"/>
                <w:b/>
                <w:bCs/>
              </w:rPr>
              <w:t>Suma:</w:t>
            </w:r>
          </w:p>
        </w:tc>
        <w:tc>
          <w:tcPr>
            <w:tcW w:w="1133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  <w:insideH w:val="single" w:sz="8" w:space="0" w:color="5F497A"/>
              <w:insideV w:val="single" w:sz="8" w:space="0" w:color="5F497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187.838</w:t>
            </w:r>
          </w:p>
        </w:tc>
        <w:tc>
          <w:tcPr>
            <w:tcW w:w="1134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  <w:insideH w:val="single" w:sz="8" w:space="0" w:color="5F497A"/>
              <w:insideV w:val="single" w:sz="8" w:space="0" w:color="5F497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184.188</w:t>
            </w:r>
          </w:p>
        </w:tc>
        <w:tc>
          <w:tcPr>
            <w:tcW w:w="1133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  <w:insideH w:val="single" w:sz="8" w:space="0" w:color="5F497A"/>
              <w:insideV w:val="single" w:sz="8" w:space="0" w:color="5F497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180.783</w:t>
            </w:r>
          </w:p>
        </w:tc>
        <w:tc>
          <w:tcPr>
            <w:tcW w:w="1135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  <w:insideH w:val="single" w:sz="8" w:space="0" w:color="5F497A"/>
              <w:insideV w:val="single" w:sz="8" w:space="0" w:color="5F497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177.935</w:t>
            </w:r>
          </w:p>
        </w:tc>
      </w:tr>
    </w:tbl>
    <w:p>
      <w:pPr>
        <w:pStyle w:val="Normal"/>
        <w:ind w:firstLine="708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  </w:t>
      </w:r>
      <w:r>
        <w:rPr>
          <w:rFonts w:cs="Calibri" w:cstheme="minorHAnsi"/>
          <w:sz w:val="20"/>
          <w:szCs w:val="20"/>
        </w:rPr>
        <w:t xml:space="preserve">Źródło: UM Sosnowiec, Wydział Spraw Obywatelskich </w:t>
      </w:r>
    </w:p>
    <w:p>
      <w:pPr>
        <w:pStyle w:val="Normal"/>
        <w:ind w:firstLine="708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Analiza migracji ludności w ostatnich latach wskazuje, że z Sosnowca w 2021 wyjechało 2087, </w:t>
        <w:br/>
        <w:t xml:space="preserve">a przyjechało 1181, z kolei w 2022 r. wyjechało 1755 a przyjechało 1106, natomiast w 2023 r. wyjechało 1896 a przyjechały 1363 osoby. Efektem jest ubytek migracyjny -906 w 2021 roku, -649 w 2022 roku </w:t>
        <w:br/>
        <w:t xml:space="preserve">i -533 w roku 2023. Tutaj widać wyraźnie zaznaczanie się pozytywnej tendencji, bo zarówno </w:t>
        <w:br/>
        <w:t xml:space="preserve">w wartościach salda migracji ogółem jak i w przeliczeniu jej na 1000 mieszkańców pojawiają się najniższe od 7 lat wartości dot. ujemnego jej salda i pozytywnie wyłamują się z danych wynikających </w:t>
        <w:br/>
        <w:t xml:space="preserve">z prognoz demograficznych.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/>
        <w:drawing>
          <wp:inline distT="0" distB="0" distL="0" distR="0">
            <wp:extent cx="5248275" cy="3352800"/>
            <wp:effectExtent l="0" t="0" r="0" b="0"/>
            <wp:docPr id="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Źródło: Bank Danych Lokalnych GUS 2016-2023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</w:rPr>
      </w:pPr>
      <w:r>
        <w:rPr/>
        <w:drawing>
          <wp:inline distT="0" distB="0" distL="0" distR="0">
            <wp:extent cx="5429250" cy="3676650"/>
            <wp:effectExtent l="0" t="0" r="0" b="0"/>
            <wp:docPr id="5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Źródło: Bank Danych Lokalnych GUS 2016-2023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To co może stanowić kolejny przyczynek do odwrócenia negatywnych trendów  demograficznych wynika z bieżącej sytuacji politycznej i dotyczy obecności uchodźców Ukrainy. Na podstawie danych  Wydziału Spraw Obywatelskich (WSO), który zajmuje się ich bieżącą obsługą, w  roku 2023 nadane zostały 1.407 numery PESEL (stan na koniec listopada 2023 r.) dla osób, które przybyły do Polski</w:t>
        <w:br/>
        <w:t xml:space="preserve">w związku z konfliktem zbrojnym na terenie Ukrainy.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Biorąc pod uwagę występujące wewnętrznie negatywne trendy demograficzne polityka rozwoju miasta musi opierać się w oparciu o perspektywy demograficzne, których dostarcza nam GUS.</w:t>
        <w:br/>
        <w:t>W zależności od dostępnych aktualności analiz prognozowana liczba mieszkańców Sosnowca w 2030 roku może wynieść 177 242</w:t>
      </w:r>
      <w:r>
        <w:rPr>
          <w:rStyle w:val="Zakotwiczenieprzypisudolnego"/>
          <w:rFonts w:cs="Calibri" w:cstheme="minorHAnsi"/>
        </w:rPr>
        <w:footnoteReference w:id="2"/>
      </w:r>
      <w:r>
        <w:rPr>
          <w:rFonts w:cs="Calibri" w:cstheme="minorHAnsi"/>
        </w:rPr>
        <w:t>, zaś w 2050 roku 131 927 mieszkańców</w:t>
      </w:r>
      <w:r>
        <w:rPr>
          <w:rStyle w:val="Zakotwiczenieprzypisudolnego"/>
          <w:rFonts w:cs="Calibri" w:cstheme="minorHAnsi"/>
        </w:rPr>
        <w:footnoteReference w:id="3"/>
      </w:r>
      <w:r>
        <w:rPr>
          <w:rFonts w:cs="Calibri" w:cstheme="minorHAnsi"/>
        </w:rPr>
        <w:t xml:space="preserve">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Według danych GUS w 2022 roku udział ludności w wieku poprodukcyjnym w Sosnowcu wyniósł 29,2%, a udział ludności w wieku poprodukcyjnym 29,7%. Kolejny wykres obrazuje dynamikę zmian </w:t>
        <w:br/>
        <w:t>w udziale ludności wg ekonomicznych grup wieku w ostatnich latach w Sosnowcu.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</w:rPr>
      </w:pPr>
      <w:r>
        <w:rPr/>
        <w:drawing>
          <wp:inline distT="0" distB="0" distL="0" distR="0">
            <wp:extent cx="6162675" cy="3476625"/>
            <wp:effectExtent l="0" t="0" r="0" b="0"/>
            <wp:docPr id="6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Źródło: Bank Danych Lokalnych GUS 2016-2023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</w:r>
    </w:p>
    <w:p>
      <w:pPr>
        <w:pStyle w:val="Nagwek1"/>
        <w:jc w:val="both"/>
        <w:rPr>
          <w:rFonts w:ascii="Calibri" w:hAnsi="Calibri" w:cs="Calibri" w:asciiTheme="minorHAnsi" w:cstheme="minorHAnsi" w:hAnsiTheme="minorHAnsi"/>
          <w:szCs w:val="28"/>
        </w:rPr>
      </w:pPr>
      <w:r>
        <w:rPr>
          <w:rFonts w:cs="Calibri" w:ascii="Calibri" w:hAnsi="Calibri" w:asciiTheme="minorHAnsi" w:cstheme="minorHAnsi" w:hAnsiTheme="minorHAnsi"/>
          <w:szCs w:val="28"/>
        </w:rPr>
        <w:t>Potencjał gospodarczy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Analizując kwestie gospodarcze trzeba mieć na względzie kontekst metropolitalny. Sosnowiec jest jednym z wielu miast tworzących platformę rozwoju całego województwa i jak widać z danych GUS wpisuje się w regionalne trendy związane z przedsiębiorczością, oczywiście adekwatnie do swojej pozycji na tle innych jednostek miejskich (wicelider wschodniej części GZM).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tbl>
      <w:tblPr>
        <w:tblStyle w:val="Tabelasiatki6kolorowaakcent1"/>
        <w:tblW w:w="972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71"/>
        <w:gridCol w:w="840"/>
        <w:gridCol w:w="839"/>
        <w:gridCol w:w="839"/>
        <w:gridCol w:w="1"/>
        <w:gridCol w:w="840"/>
        <w:gridCol w:w="839"/>
        <w:gridCol w:w="838"/>
        <w:gridCol w:w="2"/>
        <w:gridCol w:w="840"/>
        <w:gridCol w:w="839"/>
        <w:gridCol w:w="837"/>
      </w:tblGrid>
      <w:tr>
        <w:trPr>
          <w:trHeight w:val="1239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71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95B3D7"/>
              <w:insideH w:val="single" w:sz="12" w:space="0" w:color="95B3D7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2518" w:type="dxa"/>
            <w:gridSpan w:val="3"/>
            <w:tcBorders>
              <w:bottom w:val="single" w:sz="12" w:space="0" w:color="95B3D7"/>
              <w:insideH w:val="single" w:sz="12" w:space="0" w:color="95B3D7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Ogólna liczba podmiotów wpisanych do rejestru REGON</w:t>
            </w:r>
          </w:p>
        </w:tc>
        <w:tc>
          <w:tcPr>
            <w:tcW w:w="2518" w:type="dxa"/>
            <w:gridSpan w:val="4"/>
            <w:tcBorders>
              <w:bottom w:val="single" w:sz="12" w:space="0" w:color="95B3D7"/>
              <w:insideH w:val="single" w:sz="12" w:space="0" w:color="95B3D7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Podmioty wpisane do rejestru REGON na 1000 ludności</w:t>
            </w:r>
          </w:p>
        </w:tc>
        <w:tc>
          <w:tcPr>
            <w:tcW w:w="2518" w:type="dxa"/>
            <w:gridSpan w:val="4"/>
            <w:tcBorders>
              <w:bottom w:val="single" w:sz="12" w:space="0" w:color="95B3D7"/>
              <w:insideH w:val="single" w:sz="12" w:space="0" w:color="95B3D7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Podmioty wpisane do rejestru REGON na 1000 mieszkańców w wieku produkcyjnym</w:t>
            </w:r>
          </w:p>
        </w:tc>
      </w:tr>
      <w:tr>
        <w:trPr>
          <w:trHeight w:val="33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71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365F91" w:themeColor="accent1" w:themeShade="bf"/>
                <w:sz w:val="20"/>
                <w:szCs w:val="20"/>
                <w:lang w:eastAsia="pl-PL"/>
              </w:rPr>
            </w:r>
          </w:p>
        </w:tc>
        <w:tc>
          <w:tcPr>
            <w:tcW w:w="840" w:type="dxa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839" w:type="dxa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840" w:type="dxa"/>
            <w:gridSpan w:val="2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840" w:type="dxa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839" w:type="dxa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840" w:type="dxa"/>
            <w:gridSpan w:val="2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840" w:type="dxa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839" w:type="dxa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837" w:type="dxa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2023</w:t>
            </w:r>
          </w:p>
        </w:tc>
      </w:tr>
      <w:tr>
        <w:trPr>
          <w:trHeight w:val="334" w:hRule="atLeast"/>
        </w:trPr>
        <w:tc>
          <w:tcPr>
            <w:tcW w:w="21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365F91" w:themeColor="accent1" w:themeShade="bf"/>
                <w:sz w:val="20"/>
                <w:szCs w:val="20"/>
                <w:lang w:eastAsia="pl-PL"/>
              </w:rPr>
              <w:t xml:space="preserve">Będzin </w:t>
            </w:r>
          </w:p>
        </w:tc>
        <w:tc>
          <w:tcPr>
            <w:tcW w:w="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7 106</w:t>
            </w:r>
          </w:p>
        </w:tc>
        <w:tc>
          <w:tcPr>
            <w:tcW w:w="8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7 200</w:t>
            </w:r>
          </w:p>
        </w:tc>
        <w:tc>
          <w:tcPr>
            <w:tcW w:w="84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7 341</w:t>
            </w:r>
          </w:p>
        </w:tc>
        <w:tc>
          <w:tcPr>
            <w:tcW w:w="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8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84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224,2</w:t>
            </w:r>
          </w:p>
        </w:tc>
        <w:tc>
          <w:tcPr>
            <w:tcW w:w="8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231,5</w:t>
            </w:r>
          </w:p>
        </w:tc>
        <w:tc>
          <w:tcPr>
            <w:tcW w:w="8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238,9</w:t>
            </w:r>
          </w:p>
        </w:tc>
      </w:tr>
      <w:tr>
        <w:trPr>
          <w:trHeight w:val="33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365F91" w:themeColor="accent1" w:themeShade="bf"/>
                <w:sz w:val="20"/>
                <w:szCs w:val="20"/>
                <w:lang w:eastAsia="pl-PL"/>
              </w:rPr>
              <w:t>Czeladź</w:t>
            </w:r>
          </w:p>
        </w:tc>
        <w:tc>
          <w:tcPr>
            <w:tcW w:w="840" w:type="dxa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3 360</w:t>
            </w:r>
          </w:p>
        </w:tc>
        <w:tc>
          <w:tcPr>
            <w:tcW w:w="839" w:type="dxa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3 455</w:t>
            </w:r>
          </w:p>
        </w:tc>
        <w:tc>
          <w:tcPr>
            <w:tcW w:w="840" w:type="dxa"/>
            <w:gridSpan w:val="2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3 544</w:t>
            </w:r>
          </w:p>
        </w:tc>
        <w:tc>
          <w:tcPr>
            <w:tcW w:w="840" w:type="dxa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839" w:type="dxa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840" w:type="dxa"/>
            <w:gridSpan w:val="2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840" w:type="dxa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195,5</w:t>
            </w:r>
          </w:p>
        </w:tc>
        <w:tc>
          <w:tcPr>
            <w:tcW w:w="839" w:type="dxa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204,8</w:t>
            </w:r>
          </w:p>
        </w:tc>
        <w:tc>
          <w:tcPr>
            <w:tcW w:w="837" w:type="dxa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213,0</w:t>
            </w:r>
          </w:p>
        </w:tc>
      </w:tr>
      <w:tr>
        <w:trPr>
          <w:trHeight w:val="334" w:hRule="atLeast"/>
        </w:trPr>
        <w:tc>
          <w:tcPr>
            <w:tcW w:w="21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365F91" w:themeColor="accent1" w:themeShade="bf"/>
                <w:sz w:val="20"/>
                <w:szCs w:val="20"/>
                <w:lang w:eastAsia="pl-PL"/>
              </w:rPr>
              <w:t xml:space="preserve">Dąbrowa Górnicza </w:t>
            </w:r>
          </w:p>
        </w:tc>
        <w:tc>
          <w:tcPr>
            <w:tcW w:w="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13 156</w:t>
            </w:r>
          </w:p>
        </w:tc>
        <w:tc>
          <w:tcPr>
            <w:tcW w:w="8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13 352</w:t>
            </w:r>
          </w:p>
        </w:tc>
        <w:tc>
          <w:tcPr>
            <w:tcW w:w="84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13 489</w:t>
            </w:r>
          </w:p>
        </w:tc>
        <w:tc>
          <w:tcPr>
            <w:tcW w:w="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8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84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200,5</w:t>
            </w:r>
          </w:p>
        </w:tc>
        <w:tc>
          <w:tcPr>
            <w:tcW w:w="8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207,1</w:t>
            </w:r>
          </w:p>
        </w:tc>
        <w:tc>
          <w:tcPr>
            <w:tcW w:w="8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212,9</w:t>
            </w:r>
          </w:p>
        </w:tc>
      </w:tr>
      <w:tr>
        <w:trPr>
          <w:trHeight w:val="33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365F91" w:themeColor="accent1" w:themeShade="bf"/>
                <w:sz w:val="20"/>
                <w:szCs w:val="20"/>
                <w:lang w:eastAsia="pl-PL"/>
              </w:rPr>
              <w:t>Katowice</w:t>
            </w:r>
          </w:p>
        </w:tc>
        <w:tc>
          <w:tcPr>
            <w:tcW w:w="840" w:type="dxa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51 611</w:t>
            </w:r>
          </w:p>
        </w:tc>
        <w:tc>
          <w:tcPr>
            <w:tcW w:w="839" w:type="dxa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53 421</w:t>
            </w:r>
          </w:p>
        </w:tc>
        <w:tc>
          <w:tcPr>
            <w:tcW w:w="840" w:type="dxa"/>
            <w:gridSpan w:val="2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55 136</w:t>
            </w:r>
          </w:p>
        </w:tc>
        <w:tc>
          <w:tcPr>
            <w:tcW w:w="840" w:type="dxa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839" w:type="dxa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840" w:type="dxa"/>
            <w:gridSpan w:val="2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840" w:type="dxa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308,6</w:t>
            </w:r>
          </w:p>
        </w:tc>
        <w:tc>
          <w:tcPr>
            <w:tcW w:w="839" w:type="dxa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324,4</w:t>
            </w:r>
          </w:p>
        </w:tc>
        <w:tc>
          <w:tcPr>
            <w:tcW w:w="837" w:type="dxa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337,1</w:t>
            </w:r>
          </w:p>
        </w:tc>
      </w:tr>
      <w:tr>
        <w:trPr>
          <w:trHeight w:val="334" w:hRule="atLeast"/>
        </w:trPr>
        <w:tc>
          <w:tcPr>
            <w:tcW w:w="21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365F91" w:themeColor="accent1" w:themeShade="bf"/>
                <w:sz w:val="20"/>
                <w:szCs w:val="20"/>
                <w:lang w:eastAsia="pl-PL"/>
              </w:rPr>
              <w:t xml:space="preserve">Mysłowice </w:t>
            </w:r>
          </w:p>
        </w:tc>
        <w:tc>
          <w:tcPr>
            <w:tcW w:w="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7 941</w:t>
            </w:r>
          </w:p>
        </w:tc>
        <w:tc>
          <w:tcPr>
            <w:tcW w:w="8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8 158</w:t>
            </w:r>
          </w:p>
        </w:tc>
        <w:tc>
          <w:tcPr>
            <w:tcW w:w="84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8 359</w:t>
            </w:r>
          </w:p>
        </w:tc>
        <w:tc>
          <w:tcPr>
            <w:tcW w:w="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8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84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8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184,7</w:t>
            </w:r>
          </w:p>
        </w:tc>
        <w:tc>
          <w:tcPr>
            <w:tcW w:w="8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193,1</w:t>
            </w:r>
          </w:p>
        </w:tc>
        <w:tc>
          <w:tcPr>
            <w:tcW w:w="8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pl-PL"/>
              </w:rPr>
              <w:t>199,9</w:t>
            </w:r>
          </w:p>
        </w:tc>
      </w:tr>
      <w:tr>
        <w:trPr>
          <w:trHeight w:val="33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7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A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eastAsia="pl-PL"/>
              </w:rPr>
              <w:t xml:space="preserve">Sosnowiec </w:t>
            </w:r>
          </w:p>
        </w:tc>
        <w:tc>
          <w:tcPr>
            <w:tcW w:w="840" w:type="dxa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color w:val="00000A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eastAsia="pl-PL"/>
              </w:rPr>
              <w:t>22 744</w:t>
            </w:r>
          </w:p>
        </w:tc>
        <w:tc>
          <w:tcPr>
            <w:tcW w:w="839" w:type="dxa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color w:val="00000A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eastAsia="pl-PL"/>
              </w:rPr>
              <w:t>23 029</w:t>
            </w:r>
          </w:p>
        </w:tc>
        <w:tc>
          <w:tcPr>
            <w:tcW w:w="840" w:type="dxa"/>
            <w:gridSpan w:val="2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color w:val="00000A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eastAsia="pl-PL"/>
              </w:rPr>
              <w:t>23 394</w:t>
            </w:r>
          </w:p>
        </w:tc>
        <w:tc>
          <w:tcPr>
            <w:tcW w:w="840" w:type="dxa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color w:val="00000A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839" w:type="dxa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color w:val="00000A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840" w:type="dxa"/>
            <w:gridSpan w:val="2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color w:val="00000A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840" w:type="dxa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color w:val="00000A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eastAsia="pl-PL"/>
              </w:rPr>
              <w:t>209,5</w:t>
            </w:r>
          </w:p>
        </w:tc>
        <w:tc>
          <w:tcPr>
            <w:tcW w:w="839" w:type="dxa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color w:val="00000A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eastAsia="pl-PL"/>
              </w:rPr>
              <w:t>216,4</w:t>
            </w:r>
          </w:p>
        </w:tc>
        <w:tc>
          <w:tcPr>
            <w:tcW w:w="837" w:type="dxa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color w:val="00000A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A"/>
                <w:sz w:val="20"/>
                <w:szCs w:val="20"/>
                <w:lang w:eastAsia="pl-PL"/>
              </w:rPr>
              <w:t>223,6</w:t>
            </w:r>
          </w:p>
        </w:tc>
      </w:tr>
    </w:tbl>
    <w:p>
      <w:pPr>
        <w:pStyle w:val="Normal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Dane na podstawie Bazy Danych Lokalnych GUS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Tendencje te są utrzymane również w zestawieniu dotyczącym klasyfikacji wielkościowej dot. liczby pracujących w przedsiębiorstwach. Widać tutaj największą dynamikę w sferze mikroprzedsiębiorczości, która stanowi ponad 96% wszystkich podmiotów wpisanych do rejestru REGON. Warto również zwrócić  uwagę na bardzo stopniowo zmniejszającą się liczbę małych</w:t>
        <w:br/>
        <w:t>i średnich podmiotów zwłaszcza, że występuje to u prawie wszystkich sąsiadów.</w:t>
      </w:r>
    </w:p>
    <w:tbl>
      <w:tblPr>
        <w:tblStyle w:val="Tabelasiatki4akcent1"/>
        <w:tblW w:w="9990" w:type="dxa"/>
        <w:jc w:val="center"/>
        <w:tblInd w:w="0" w:type="dxa"/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6"/>
        <w:gridCol w:w="647"/>
        <w:gridCol w:w="647"/>
        <w:gridCol w:w="648"/>
        <w:gridCol w:w="1"/>
        <w:gridCol w:w="646"/>
        <w:gridCol w:w="647"/>
        <w:gridCol w:w="648"/>
        <w:gridCol w:w="2"/>
        <w:gridCol w:w="566"/>
        <w:gridCol w:w="568"/>
        <w:gridCol w:w="569"/>
        <w:gridCol w:w="2"/>
        <w:gridCol w:w="566"/>
        <w:gridCol w:w="569"/>
        <w:gridCol w:w="568"/>
        <w:gridCol w:w="2"/>
        <w:gridCol w:w="567"/>
        <w:gridCol w:w="568"/>
        <w:gridCol w:w="570"/>
      </w:tblGrid>
      <w:tr>
        <w:trPr>
          <w:trHeight w:val="302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87" w:type="dxa"/>
            <w:gridSpan w:val="20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24" w:space="0" w:color="95B3D7"/>
              <w:left w:val="single" w:sz="24" w:space="0" w:color="95B3D7"/>
              <w:bottom w:val="single" w:sz="4" w:space="0" w:color="4F81BD"/>
              <w:right w:val="single" w:sz="24" w:space="0" w:color="95B3D7"/>
              <w:insideH w:val="single" w:sz="4" w:space="0" w:color="4F81BD"/>
              <w:insideV w:val="single" w:sz="24" w:space="0" w:color="95B3D7"/>
            </w:tcBorders>
            <w:shd w:color="auto" w:fill="4F81BD" w:themeFill="accent1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18"/>
                <w:szCs w:val="18"/>
                <w:lang w:eastAsia="pl-PL"/>
              </w:rPr>
              <w:t>Podmioty klasyfikowane według kryterium liczby pracujących w latach 2021-2023</w:t>
            </w:r>
          </w:p>
        </w:tc>
      </w:tr>
      <w:tr>
        <w:trPr>
          <w:trHeight w:val="30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6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single" w:sz="24" w:space="0" w:color="95B3D7"/>
            </w:tcBorders>
            <w:shd w:color="auto" w:fill="DBE5F1" w:themeFill="accent1" w:themeFillTint="33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1943" w:type="dxa"/>
            <w:gridSpan w:val="4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0 - 9</w:t>
            </w:r>
          </w:p>
        </w:tc>
        <w:tc>
          <w:tcPr>
            <w:tcW w:w="1943" w:type="dxa"/>
            <w:gridSpan w:val="4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10 - 49</w:t>
            </w:r>
          </w:p>
        </w:tc>
        <w:tc>
          <w:tcPr>
            <w:tcW w:w="1705" w:type="dxa"/>
            <w:gridSpan w:val="4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50 - 249</w:t>
            </w:r>
          </w:p>
        </w:tc>
        <w:tc>
          <w:tcPr>
            <w:tcW w:w="1705" w:type="dxa"/>
            <w:gridSpan w:val="4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250 - 999</w:t>
            </w:r>
          </w:p>
        </w:tc>
        <w:tc>
          <w:tcPr>
            <w:tcW w:w="1705" w:type="dxa"/>
            <w:gridSpan w:val="3"/>
            <w:tcBorders>
              <w:right w:val="single" w:sz="24" w:space="0" w:color="95B3D7"/>
              <w:insideV w:val="single" w:sz="24" w:space="0" w:color="95B3D7"/>
            </w:tcBorders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1000 i więcej</w:t>
            </w:r>
          </w:p>
        </w:tc>
      </w:tr>
      <w:tr>
        <w:trPr>
          <w:trHeight w:val="302" w:hRule="atLeast"/>
        </w:trPr>
        <w:tc>
          <w:tcPr>
            <w:tcW w:w="986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single" w:sz="24" w:space="0" w:color="95B3D7"/>
              <w:bottom w:val="single" w:sz="24" w:space="0" w:color="95B3D7"/>
              <w:insideH w:val="single" w:sz="24" w:space="0" w:color="95B3D7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647" w:type="dxa"/>
            <w:tcBorders>
              <w:bottom w:val="single" w:sz="24" w:space="0" w:color="95B3D7"/>
              <w:insideH w:val="single" w:sz="24" w:space="0" w:color="95B3D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647" w:type="dxa"/>
            <w:tcBorders>
              <w:bottom w:val="single" w:sz="24" w:space="0" w:color="95B3D7"/>
              <w:insideH w:val="single" w:sz="24" w:space="0" w:color="95B3D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648" w:type="dxa"/>
            <w:tcBorders>
              <w:bottom w:val="single" w:sz="24" w:space="0" w:color="95B3D7"/>
              <w:insideH w:val="single" w:sz="24" w:space="0" w:color="95B3D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2023</w:t>
            </w:r>
          </w:p>
        </w:tc>
        <w:tc>
          <w:tcPr>
            <w:tcW w:w="647" w:type="dxa"/>
            <w:gridSpan w:val="2"/>
            <w:tcBorders>
              <w:bottom w:val="single" w:sz="24" w:space="0" w:color="95B3D7"/>
              <w:insideH w:val="single" w:sz="24" w:space="0" w:color="95B3D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647" w:type="dxa"/>
            <w:tcBorders>
              <w:bottom w:val="single" w:sz="24" w:space="0" w:color="95B3D7"/>
              <w:insideH w:val="single" w:sz="24" w:space="0" w:color="95B3D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648" w:type="dxa"/>
            <w:tcBorders>
              <w:bottom w:val="single" w:sz="24" w:space="0" w:color="95B3D7"/>
              <w:insideH w:val="single" w:sz="24" w:space="0" w:color="95B3D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2023</w:t>
            </w:r>
          </w:p>
        </w:tc>
        <w:tc>
          <w:tcPr>
            <w:tcW w:w="568" w:type="dxa"/>
            <w:gridSpan w:val="2"/>
            <w:tcBorders>
              <w:bottom w:val="single" w:sz="24" w:space="0" w:color="95B3D7"/>
              <w:insideH w:val="single" w:sz="24" w:space="0" w:color="95B3D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568" w:type="dxa"/>
            <w:tcBorders>
              <w:bottom w:val="single" w:sz="24" w:space="0" w:color="95B3D7"/>
              <w:insideH w:val="single" w:sz="24" w:space="0" w:color="95B3D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569" w:type="dxa"/>
            <w:tcBorders>
              <w:bottom w:val="single" w:sz="24" w:space="0" w:color="95B3D7"/>
              <w:insideH w:val="single" w:sz="24" w:space="0" w:color="95B3D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2023</w:t>
            </w:r>
          </w:p>
        </w:tc>
        <w:tc>
          <w:tcPr>
            <w:tcW w:w="568" w:type="dxa"/>
            <w:gridSpan w:val="2"/>
            <w:tcBorders>
              <w:bottom w:val="single" w:sz="24" w:space="0" w:color="95B3D7"/>
              <w:insideH w:val="single" w:sz="24" w:space="0" w:color="95B3D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569" w:type="dxa"/>
            <w:tcBorders>
              <w:bottom w:val="single" w:sz="24" w:space="0" w:color="95B3D7"/>
              <w:insideH w:val="single" w:sz="24" w:space="0" w:color="95B3D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568" w:type="dxa"/>
            <w:tcBorders>
              <w:bottom w:val="single" w:sz="24" w:space="0" w:color="95B3D7"/>
              <w:insideH w:val="single" w:sz="24" w:space="0" w:color="95B3D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2023</w:t>
            </w:r>
          </w:p>
        </w:tc>
        <w:tc>
          <w:tcPr>
            <w:tcW w:w="569" w:type="dxa"/>
            <w:gridSpan w:val="2"/>
            <w:tcBorders>
              <w:bottom w:val="single" w:sz="24" w:space="0" w:color="95B3D7"/>
              <w:insideH w:val="single" w:sz="24" w:space="0" w:color="95B3D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568" w:type="dxa"/>
            <w:tcBorders>
              <w:bottom w:val="single" w:sz="24" w:space="0" w:color="95B3D7"/>
              <w:insideH w:val="single" w:sz="24" w:space="0" w:color="95B3D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570" w:type="dxa"/>
            <w:tcBorders>
              <w:bottom w:val="single" w:sz="24" w:space="0" w:color="95B3D7"/>
              <w:right w:val="single" w:sz="24" w:space="0" w:color="95B3D7"/>
              <w:insideH w:val="single" w:sz="24" w:space="0" w:color="95B3D7"/>
              <w:insideV w:val="single" w:sz="24" w:space="0" w:color="95B3D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2023</w:t>
            </w:r>
          </w:p>
        </w:tc>
      </w:tr>
      <w:tr>
        <w:trPr>
          <w:trHeight w:val="30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24" w:space="0" w:color="95B3D7"/>
            </w:tcBorders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 w:val="false"/>
                <w:b w:val="false"/>
                <w:bCs w:val="false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 w:val="false"/>
                <w:bCs w:val="false"/>
                <w:sz w:val="18"/>
                <w:szCs w:val="18"/>
                <w:lang w:eastAsia="pl-PL"/>
              </w:rPr>
              <w:t>Będzin</w:t>
            </w:r>
          </w:p>
        </w:tc>
        <w:tc>
          <w:tcPr>
            <w:tcW w:w="647" w:type="dxa"/>
            <w:tcBorders>
              <w:top w:val="single" w:sz="24" w:space="0" w:color="95B3D7"/>
            </w:tcBorders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6 844</w:t>
            </w:r>
          </w:p>
        </w:tc>
        <w:tc>
          <w:tcPr>
            <w:tcW w:w="647" w:type="dxa"/>
            <w:tcBorders>
              <w:top w:val="single" w:sz="24" w:space="0" w:color="95B3D7"/>
            </w:tcBorders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6 941</w:t>
            </w:r>
          </w:p>
        </w:tc>
        <w:tc>
          <w:tcPr>
            <w:tcW w:w="648" w:type="dxa"/>
            <w:tcBorders>
              <w:top w:val="single" w:sz="24" w:space="0" w:color="95B3D7"/>
            </w:tcBorders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7 081</w:t>
            </w:r>
          </w:p>
        </w:tc>
        <w:tc>
          <w:tcPr>
            <w:tcW w:w="647" w:type="dxa"/>
            <w:gridSpan w:val="2"/>
            <w:tcBorders>
              <w:top w:val="single" w:sz="24" w:space="0" w:color="95B3D7"/>
            </w:tcBorders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647" w:type="dxa"/>
            <w:tcBorders>
              <w:top w:val="single" w:sz="24" w:space="0" w:color="95B3D7"/>
            </w:tcBorders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648" w:type="dxa"/>
            <w:tcBorders>
              <w:top w:val="single" w:sz="24" w:space="0" w:color="95B3D7"/>
            </w:tcBorders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568" w:type="dxa"/>
            <w:gridSpan w:val="2"/>
            <w:tcBorders>
              <w:top w:val="single" w:sz="24" w:space="0" w:color="95B3D7"/>
            </w:tcBorders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568" w:type="dxa"/>
            <w:tcBorders>
              <w:top w:val="single" w:sz="24" w:space="0" w:color="95B3D7"/>
            </w:tcBorders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569" w:type="dxa"/>
            <w:tcBorders>
              <w:top w:val="single" w:sz="24" w:space="0" w:color="95B3D7"/>
            </w:tcBorders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568" w:type="dxa"/>
            <w:gridSpan w:val="2"/>
            <w:tcBorders>
              <w:top w:val="single" w:sz="24" w:space="0" w:color="95B3D7"/>
            </w:tcBorders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9" w:type="dxa"/>
            <w:tcBorders>
              <w:top w:val="single" w:sz="24" w:space="0" w:color="95B3D7"/>
            </w:tcBorders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8" w:type="dxa"/>
            <w:tcBorders>
              <w:top w:val="single" w:sz="24" w:space="0" w:color="95B3D7"/>
            </w:tcBorders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sz="24" w:space="0" w:color="95B3D7"/>
            </w:tcBorders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68" w:type="dxa"/>
            <w:tcBorders>
              <w:top w:val="single" w:sz="24" w:space="0" w:color="95B3D7"/>
            </w:tcBorders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0" w:type="dxa"/>
            <w:tcBorders>
              <w:top w:val="single" w:sz="24" w:space="0" w:color="95B3D7"/>
            </w:tcBorders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</w:tr>
      <w:tr>
        <w:trPr>
          <w:trHeight w:val="302" w:hRule="atLeast"/>
        </w:trPr>
        <w:tc>
          <w:tcPr>
            <w:tcW w:w="9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 w:val="false"/>
                <w:b w:val="false"/>
                <w:bCs w:val="false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 w:val="false"/>
                <w:bCs w:val="false"/>
                <w:sz w:val="18"/>
                <w:szCs w:val="18"/>
                <w:lang w:eastAsia="pl-PL"/>
              </w:rPr>
              <w:t>Czeladź</w:t>
            </w:r>
          </w:p>
        </w:tc>
        <w:tc>
          <w:tcPr>
            <w:tcW w:w="64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3 232</w:t>
            </w:r>
          </w:p>
        </w:tc>
        <w:tc>
          <w:tcPr>
            <w:tcW w:w="64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3 326</w:t>
            </w:r>
          </w:p>
        </w:tc>
        <w:tc>
          <w:tcPr>
            <w:tcW w:w="64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3 415</w:t>
            </w:r>
          </w:p>
        </w:tc>
        <w:tc>
          <w:tcPr>
            <w:tcW w:w="647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64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64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56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56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56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9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</w:tr>
      <w:tr>
        <w:trPr>
          <w:trHeight w:val="48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 w:val="false"/>
                <w:b w:val="false"/>
                <w:bCs w:val="false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 w:val="false"/>
                <w:bCs w:val="false"/>
                <w:sz w:val="18"/>
                <w:szCs w:val="18"/>
                <w:lang w:eastAsia="pl-PL"/>
              </w:rPr>
              <w:t>Dąbrowa</w:t>
              <w:br/>
              <w:t xml:space="preserve"> Górnicza</w:t>
            </w:r>
          </w:p>
        </w:tc>
        <w:tc>
          <w:tcPr>
            <w:tcW w:w="647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12 562</w:t>
            </w:r>
          </w:p>
        </w:tc>
        <w:tc>
          <w:tcPr>
            <w:tcW w:w="647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12 758</w:t>
            </w:r>
          </w:p>
        </w:tc>
        <w:tc>
          <w:tcPr>
            <w:tcW w:w="648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12 909</w:t>
            </w:r>
          </w:p>
        </w:tc>
        <w:tc>
          <w:tcPr>
            <w:tcW w:w="647" w:type="dxa"/>
            <w:gridSpan w:val="2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468</w:t>
            </w:r>
          </w:p>
        </w:tc>
        <w:tc>
          <w:tcPr>
            <w:tcW w:w="647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468</w:t>
            </w:r>
          </w:p>
        </w:tc>
        <w:tc>
          <w:tcPr>
            <w:tcW w:w="648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454</w:t>
            </w:r>
          </w:p>
        </w:tc>
        <w:tc>
          <w:tcPr>
            <w:tcW w:w="568" w:type="dxa"/>
            <w:gridSpan w:val="2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568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569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568" w:type="dxa"/>
            <w:gridSpan w:val="2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69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68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69" w:type="dxa"/>
            <w:gridSpan w:val="2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8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70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</w:p>
        </w:tc>
      </w:tr>
      <w:tr>
        <w:trPr>
          <w:trHeight w:val="302" w:hRule="atLeast"/>
        </w:trPr>
        <w:tc>
          <w:tcPr>
            <w:tcW w:w="9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 w:val="false"/>
                <w:b w:val="false"/>
                <w:bCs w:val="false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 w:val="false"/>
                <w:bCs w:val="false"/>
                <w:sz w:val="18"/>
                <w:szCs w:val="18"/>
                <w:lang w:eastAsia="pl-PL"/>
              </w:rPr>
              <w:t>Katowice</w:t>
            </w:r>
          </w:p>
        </w:tc>
        <w:tc>
          <w:tcPr>
            <w:tcW w:w="64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49 197</w:t>
            </w:r>
          </w:p>
        </w:tc>
        <w:tc>
          <w:tcPr>
            <w:tcW w:w="64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51 031</w:t>
            </w:r>
          </w:p>
        </w:tc>
        <w:tc>
          <w:tcPr>
            <w:tcW w:w="64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52 787</w:t>
            </w:r>
          </w:p>
        </w:tc>
        <w:tc>
          <w:tcPr>
            <w:tcW w:w="647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1 903</w:t>
            </w:r>
          </w:p>
        </w:tc>
        <w:tc>
          <w:tcPr>
            <w:tcW w:w="64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1 889</w:t>
            </w:r>
          </w:p>
        </w:tc>
        <w:tc>
          <w:tcPr>
            <w:tcW w:w="64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1 849</w:t>
            </w:r>
          </w:p>
        </w:tc>
        <w:tc>
          <w:tcPr>
            <w:tcW w:w="56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407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397</w:t>
            </w:r>
          </w:p>
        </w:tc>
        <w:tc>
          <w:tcPr>
            <w:tcW w:w="56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396</w:t>
            </w:r>
          </w:p>
        </w:tc>
        <w:tc>
          <w:tcPr>
            <w:tcW w:w="56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56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569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5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20</w:t>
            </w:r>
          </w:p>
        </w:tc>
      </w:tr>
      <w:tr>
        <w:trPr>
          <w:trHeight w:val="30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b w:val="false"/>
                <w:b w:val="false"/>
                <w:bCs w:val="false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 w:val="false"/>
                <w:bCs w:val="false"/>
                <w:sz w:val="18"/>
                <w:szCs w:val="18"/>
                <w:lang w:eastAsia="pl-PL"/>
              </w:rPr>
              <w:t>Mysłowice</w:t>
            </w:r>
          </w:p>
        </w:tc>
        <w:tc>
          <w:tcPr>
            <w:tcW w:w="647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7 594</w:t>
            </w:r>
          </w:p>
        </w:tc>
        <w:tc>
          <w:tcPr>
            <w:tcW w:w="647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7 818</w:t>
            </w:r>
          </w:p>
        </w:tc>
        <w:tc>
          <w:tcPr>
            <w:tcW w:w="648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8 024</w:t>
            </w:r>
          </w:p>
        </w:tc>
        <w:tc>
          <w:tcPr>
            <w:tcW w:w="647" w:type="dxa"/>
            <w:gridSpan w:val="2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647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648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568" w:type="dxa"/>
            <w:gridSpan w:val="2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568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569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568" w:type="dxa"/>
            <w:gridSpan w:val="2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9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8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9" w:type="dxa"/>
            <w:gridSpan w:val="2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68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0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</w:tr>
      <w:tr>
        <w:trPr>
          <w:trHeight w:val="302" w:hRule="atLeast"/>
        </w:trPr>
        <w:tc>
          <w:tcPr>
            <w:tcW w:w="98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Sosnowiec</w:t>
            </w:r>
          </w:p>
        </w:tc>
        <w:tc>
          <w:tcPr>
            <w:tcW w:w="64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21 959</w:t>
            </w:r>
          </w:p>
        </w:tc>
        <w:tc>
          <w:tcPr>
            <w:tcW w:w="64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22 267</w:t>
            </w:r>
          </w:p>
        </w:tc>
        <w:tc>
          <w:tcPr>
            <w:tcW w:w="64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22 641</w:t>
            </w:r>
          </w:p>
        </w:tc>
        <w:tc>
          <w:tcPr>
            <w:tcW w:w="647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624</w:t>
            </w:r>
          </w:p>
        </w:tc>
        <w:tc>
          <w:tcPr>
            <w:tcW w:w="64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602</w:t>
            </w:r>
          </w:p>
        </w:tc>
        <w:tc>
          <w:tcPr>
            <w:tcW w:w="64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597</w:t>
            </w:r>
          </w:p>
        </w:tc>
        <w:tc>
          <w:tcPr>
            <w:tcW w:w="56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56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56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56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569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4</w:t>
            </w:r>
          </w:p>
        </w:tc>
      </w:tr>
    </w:tbl>
    <w:p>
      <w:pPr>
        <w:pStyle w:val="Normal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Dane na podstawie Bazy Danych Lokalnych GUS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Analiza ogólnej sfery gospodarczej w Sosnowcu w ostatnich latach winna być uzupełniona o wskaźnik poziomu aktywności gospodarczej. Dane za ostatnie lata wykazują odbicie po pandemii i powrót do tendencji wzrostowych.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tbl>
      <w:tblPr>
        <w:tblStyle w:val="Tabelasiatki6kolorowaakcent1"/>
        <w:tblW w:w="495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35"/>
        <w:gridCol w:w="943"/>
        <w:gridCol w:w="950"/>
        <w:gridCol w:w="952"/>
      </w:tblGrid>
      <w:tr>
        <w:trPr>
          <w:trHeight w:val="342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135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95B3D7"/>
              <w:insideH w:val="single" w:sz="12" w:space="0" w:color="95B3D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 w:val="false"/>
                <w:b w:val="false"/>
                <w:bCs w:val="false"/>
              </w:rPr>
            </w:pPr>
            <w:r>
              <w:rPr>
                <w:rFonts w:cs="Calibri" w:cstheme="minorHAnsi"/>
                <w:b w:val="false"/>
                <w:bCs w:val="false"/>
                <w:color w:val="365F91"/>
              </w:rPr>
              <w:t>Poziom aktywności gospodarczej w Sosnowcu w latach 2021-2023</w:t>
            </w:r>
          </w:p>
        </w:tc>
        <w:tc>
          <w:tcPr>
            <w:tcW w:w="2845" w:type="dxa"/>
            <w:gridSpan w:val="3"/>
            <w:tcBorders>
              <w:bottom w:val="single" w:sz="12" w:space="0" w:color="95B3D7"/>
              <w:insideH w:val="single" w:sz="12" w:space="0" w:color="95B3D7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b/>
                <w:bCs/>
                <w:color w:val="365F91"/>
              </w:rPr>
              <w:t>Dane za lata</w:t>
            </w:r>
          </w:p>
        </w:tc>
      </w:tr>
      <w:tr>
        <w:trPr>
          <w:trHeight w:val="27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135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color w:val="365F91" w:themeColor="accent1" w:themeShade="bf"/>
              </w:rPr>
            </w:pPr>
            <w:r>
              <w:rPr>
                <w:rFonts w:cs="Calibri"/>
                <w:b/>
                <w:bCs/>
                <w:color w:val="365F91" w:themeColor="accent1" w:themeShade="bf"/>
              </w:rPr>
            </w:r>
          </w:p>
        </w:tc>
        <w:tc>
          <w:tcPr>
            <w:tcW w:w="943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color w:val="365F91"/>
              </w:rPr>
              <w:t>2021</w:t>
            </w:r>
          </w:p>
        </w:tc>
        <w:tc>
          <w:tcPr>
            <w:tcW w:w="950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color w:val="365F91"/>
              </w:rPr>
              <w:t>2022</w:t>
            </w:r>
          </w:p>
        </w:tc>
        <w:tc>
          <w:tcPr>
            <w:tcW w:w="952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color w:val="365F91"/>
              </w:rPr>
              <w:t>2023</w:t>
            </w:r>
          </w:p>
        </w:tc>
      </w:tr>
      <w:tr>
        <w:trPr>
          <w:trHeight w:val="342" w:hRule="atLeast"/>
        </w:trPr>
        <w:tc>
          <w:tcPr>
            <w:tcW w:w="61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b/>
                <w:bCs/>
                <w:color w:val="365F91"/>
              </w:rPr>
              <w:t>Podmioty gospodarcze funkcjonujące w danym roku ogółem</w:t>
            </w:r>
          </w:p>
        </w:tc>
        <w:tc>
          <w:tcPr>
            <w:tcW w:w="94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color w:val="365F91"/>
              </w:rPr>
              <w:t>22 744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color w:val="365F91"/>
              </w:rPr>
              <w:t>23 029</w:t>
            </w:r>
          </w:p>
        </w:tc>
        <w:tc>
          <w:tcPr>
            <w:tcW w:w="9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color w:val="365F91"/>
              </w:rPr>
              <w:t>23 394</w:t>
            </w:r>
          </w:p>
        </w:tc>
      </w:tr>
      <w:tr>
        <w:trPr>
          <w:trHeight w:val="34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1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BE5F1" w:themeFill="accen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b/>
                <w:bCs/>
                <w:color w:val="365F91"/>
              </w:rPr>
              <w:t>Podmioty gospodarcze nowo zarejestrowane</w:t>
            </w:r>
          </w:p>
        </w:tc>
        <w:tc>
          <w:tcPr>
            <w:tcW w:w="943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color w:val="365F91"/>
              </w:rPr>
              <w:t>1 200</w:t>
            </w:r>
          </w:p>
        </w:tc>
        <w:tc>
          <w:tcPr>
            <w:tcW w:w="950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color w:val="365F91"/>
              </w:rPr>
              <w:t>1 186</w:t>
            </w:r>
          </w:p>
        </w:tc>
        <w:tc>
          <w:tcPr>
            <w:tcW w:w="952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color w:val="365F91"/>
              </w:rPr>
              <w:t>1 461</w:t>
            </w:r>
          </w:p>
        </w:tc>
      </w:tr>
      <w:tr>
        <w:trPr>
          <w:trHeight w:val="342" w:hRule="atLeast"/>
        </w:trPr>
        <w:tc>
          <w:tcPr>
            <w:tcW w:w="61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b/>
                <w:bCs/>
                <w:color w:val="365F91"/>
              </w:rPr>
              <w:t>Spółki handlowe</w:t>
            </w:r>
          </w:p>
        </w:tc>
        <w:tc>
          <w:tcPr>
            <w:tcW w:w="94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color w:val="365F91"/>
              </w:rPr>
              <w:t>2 191</w:t>
            </w:r>
          </w:p>
        </w:tc>
        <w:tc>
          <w:tcPr>
            <w:tcW w:w="95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color w:val="365F91"/>
              </w:rPr>
              <w:t>2 326</w:t>
            </w:r>
          </w:p>
        </w:tc>
        <w:tc>
          <w:tcPr>
            <w:tcW w:w="9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color w:val="365F91"/>
              </w:rPr>
              <w:t>2 444</w:t>
            </w:r>
          </w:p>
        </w:tc>
      </w:tr>
      <w:tr>
        <w:trPr>
          <w:trHeight w:val="34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13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BE5F1" w:themeFill="accen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b/>
                <w:bCs/>
                <w:color w:val="365F91"/>
              </w:rPr>
              <w:t>Spółki jawne</w:t>
            </w:r>
          </w:p>
        </w:tc>
        <w:tc>
          <w:tcPr>
            <w:tcW w:w="943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color w:val="365F91"/>
              </w:rPr>
              <w:t>168</w:t>
            </w:r>
          </w:p>
        </w:tc>
        <w:tc>
          <w:tcPr>
            <w:tcW w:w="950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color w:val="365F91"/>
              </w:rPr>
              <w:t>167</w:t>
            </w:r>
          </w:p>
        </w:tc>
        <w:tc>
          <w:tcPr>
            <w:tcW w:w="952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color w:val="365F91"/>
              </w:rPr>
              <w:t>164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8"/>
          <w:szCs w:val="8"/>
        </w:rPr>
      </w:pPr>
      <w:r>
        <w:rPr>
          <w:rFonts w:cs="Calibri" w:cstheme="minorHAnsi"/>
          <w:sz w:val="8"/>
          <w:szCs w:val="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Źródło: stat.gov.pl Bank Danych Lokalnych GUS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footerReference w:type="default" r:id="rId8"/>
      <w:footnotePr>
        <w:numFmt w:val="decimal"/>
      </w:footnotePr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drawing>
        <wp:inline distT="0" distB="0" distL="0" distR="0">
          <wp:extent cx="5661025" cy="556895"/>
          <wp:effectExtent l="0" t="0" r="0" b="0"/>
          <wp:docPr id="7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61025" cy="556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>Prognoza ludności gmin na lata 2017-2030 (opracowanie eksperymentalne) https://stat.gov.pl/obszary-tematyczne/ludnosc/prognoza-ludnosci/prognoza-ludnosci-gmin-na-lata-2017-2030-opracowanie-eksperymentalne,10,1.html</w:t>
      </w:r>
    </w:p>
  </w:footnote>
  <w:footnote w:id="3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>Prognoza ludności rezydującej dla Polski na lata 2015 – 2050 https://stat.gov.pl/obszary-tematyczne/ludnosc/prognoza-ludnosci/prognoza-ludnosci-rezydujacej-dla-polski-na-lata-2015-2050,8,1.html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305e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paragraph" w:styleId="Nagwek1">
    <w:name w:val="Heading 1"/>
    <w:basedOn w:val="Normal"/>
    <w:link w:val="Nagwek1Znak"/>
    <w:uiPriority w:val="99"/>
    <w:qFormat/>
    <w:rsid w:val="007a4cdc"/>
    <w:pPr>
      <w:keepNext/>
      <w:keepLines/>
      <w:spacing w:before="240" w:after="240"/>
      <w:outlineLvl w:val="0"/>
    </w:pPr>
    <w:rPr>
      <w:rFonts w:ascii="Calibri Light" w:hAnsi="Calibri Light" w:eastAsia="Times New Roman"/>
      <w:color w:val="2F5496"/>
      <w:sz w:val="28"/>
      <w:szCs w:val="32"/>
    </w:rPr>
  </w:style>
  <w:style w:type="paragraph" w:styleId="Nagwek2">
    <w:name w:val="Heading 2"/>
    <w:basedOn w:val="Normal"/>
    <w:link w:val="Nagwek2Znak"/>
    <w:uiPriority w:val="99"/>
    <w:qFormat/>
    <w:rsid w:val="001e2f45"/>
    <w:pPr>
      <w:keepNext/>
      <w:keepLines/>
      <w:spacing w:before="40" w:after="0"/>
      <w:outlineLvl w:val="1"/>
    </w:pPr>
    <w:rPr>
      <w:rFonts w:ascii="Calibri Light" w:hAnsi="Calibri Light" w:eastAsia="Times New Roman"/>
      <w:color w:val="2F5496"/>
      <w:sz w:val="24"/>
      <w:szCs w:val="26"/>
    </w:rPr>
  </w:style>
  <w:style w:type="paragraph" w:styleId="Nagwek3">
    <w:name w:val="Heading 3"/>
    <w:basedOn w:val="Normal"/>
    <w:link w:val="Nagwek3Znak"/>
    <w:uiPriority w:val="99"/>
    <w:qFormat/>
    <w:rsid w:val="007a4cdc"/>
    <w:pPr>
      <w:keepNext/>
      <w:keepLines/>
      <w:spacing w:before="40" w:after="120"/>
      <w:outlineLvl w:val="2"/>
    </w:pPr>
    <w:rPr>
      <w:rFonts w:ascii="Calibri Light" w:hAnsi="Calibri Light" w:eastAsia="Times New Roman"/>
      <w:color w:val="1F3763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9"/>
    <w:qFormat/>
    <w:locked/>
    <w:rsid w:val="007a4cdc"/>
    <w:rPr>
      <w:rFonts w:ascii="Calibri Light" w:hAnsi="Calibri Light" w:cs="Times New Roman"/>
      <w:color w:val="2F5496"/>
      <w:sz w:val="32"/>
      <w:szCs w:val="32"/>
    </w:rPr>
  </w:style>
  <w:style w:type="character" w:styleId="Nagwek2Znak" w:customStyle="1">
    <w:name w:val="Nagłówek 2 Znak"/>
    <w:basedOn w:val="DefaultParagraphFont"/>
    <w:link w:val="Nagwek2"/>
    <w:uiPriority w:val="99"/>
    <w:qFormat/>
    <w:locked/>
    <w:rsid w:val="001e2f45"/>
    <w:rPr>
      <w:rFonts w:ascii="Calibri Light" w:hAnsi="Calibri Light" w:cs="Times New Roman"/>
      <w:color w:val="2F5496"/>
      <w:sz w:val="26"/>
      <w:szCs w:val="26"/>
    </w:rPr>
  </w:style>
  <w:style w:type="character" w:styleId="Nagwek3Znak" w:customStyle="1">
    <w:name w:val="Nagłówek 3 Znak"/>
    <w:basedOn w:val="DefaultParagraphFont"/>
    <w:link w:val="Nagwek3"/>
    <w:uiPriority w:val="99"/>
    <w:qFormat/>
    <w:locked/>
    <w:rsid w:val="007a4cdc"/>
    <w:rPr>
      <w:rFonts w:ascii="Calibri Light" w:hAnsi="Calibri Light" w:cs="Times New Roman"/>
      <w:color w:val="1F3763"/>
      <w:sz w:val="24"/>
      <w:szCs w:val="24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locked/>
    <w:rsid w:val="00f210c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qFormat/>
    <w:rsid w:val="00f210c8"/>
    <w:rPr>
      <w:rFonts w:cs="Times New Roman"/>
      <w:vertAlign w:val="superscript"/>
    </w:rPr>
  </w:style>
  <w:style w:type="character" w:styleId="Wyrnienie">
    <w:name w:val="Wyróżnienie"/>
    <w:basedOn w:val="DefaultParagraphFont"/>
    <w:uiPriority w:val="99"/>
    <w:qFormat/>
    <w:rsid w:val="002a1839"/>
    <w:rPr>
      <w:rFonts w:cs="Times New Roman"/>
      <w:i/>
      <w:iCs/>
    </w:rPr>
  </w:style>
  <w:style w:type="character" w:styleId="Czeinternetowe">
    <w:name w:val="Łącze internetowe"/>
    <w:basedOn w:val="DefaultParagraphFont"/>
    <w:uiPriority w:val="99"/>
    <w:rsid w:val="00d515d4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99"/>
    <w:qFormat/>
    <w:rsid w:val="00c03f78"/>
    <w:rPr>
      <w:rFonts w:cs="Times New Roman"/>
      <w:b/>
      <w:bCs/>
    </w:rPr>
  </w:style>
  <w:style w:type="character" w:styleId="NagwekZnak" w:customStyle="1">
    <w:name w:val="Nagłówek Znak"/>
    <w:basedOn w:val="DefaultParagraphFont"/>
    <w:link w:val="Nagwek"/>
    <w:uiPriority w:val="99"/>
    <w:qFormat/>
    <w:locked/>
    <w:rsid w:val="0031589d"/>
    <w:rPr>
      <w:rFonts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locked/>
    <w:rsid w:val="0031589d"/>
    <w:rPr>
      <w:rFonts w:cs="Times New Roman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locked/>
    <w:rsid w:val="00cb1c88"/>
    <w:rPr>
      <w:rFonts w:cs="Times New Roman"/>
      <w:sz w:val="20"/>
      <w:szCs w:val="20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817c25"/>
    <w:rPr>
      <w:rFonts w:ascii="Arial" w:hAnsi="Arial" w:eastAsia="Times New Roman"/>
      <w:sz w:val="24"/>
      <w:szCs w:val="20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817c25"/>
    <w:rPr>
      <w:rFonts w:ascii="Arial" w:hAnsi="Arial" w:eastAsia="Times New Roman"/>
      <w:sz w:val="24"/>
      <w:szCs w:val="20"/>
    </w:rPr>
  </w:style>
  <w:style w:type="character" w:styleId="Fontstyle01" w:customStyle="1">
    <w:name w:val="fontstyle01"/>
    <w:basedOn w:val="DefaultParagraphFont"/>
    <w:qFormat/>
    <w:rsid w:val="00b73262"/>
    <w:rPr>
      <w:rFonts w:ascii="Calibri" w:hAnsi="Calibri" w:cs="Calibri"/>
      <w:b w:val="false"/>
      <w:bCs w:val="false"/>
      <w:i w:val="false"/>
      <w:iCs w:val="false"/>
      <w:color w:val="000000"/>
      <w:sz w:val="22"/>
      <w:szCs w:val="22"/>
    </w:rPr>
  </w:style>
  <w:style w:type="character" w:styleId="Fontstyle21" w:customStyle="1">
    <w:name w:val="fontstyle21"/>
    <w:basedOn w:val="DefaultParagraphFont"/>
    <w:qFormat/>
    <w:rsid w:val="00b73262"/>
    <w:rPr>
      <w:rFonts w:ascii="Symbol" w:hAnsi="Symbol"/>
      <w:b w:val="false"/>
      <w:bCs w:val="false"/>
      <w:i w:val="false"/>
      <w:iCs w:val="false"/>
      <w:color w:val="000000"/>
      <w:sz w:val="22"/>
      <w:szCs w:val="22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630f2c"/>
    <w:rPr>
      <w:color w:val="605E5C"/>
      <w:shd w:fill="E1DFDD" w:val="clear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d97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94376"/>
    <w:rPr>
      <w:color w:val="800080" w:themeColor="followedHyperlink"/>
      <w:u w:val="single"/>
    </w:rPr>
  </w:style>
  <w:style w:type="character" w:styleId="ListLabel1">
    <w:name w:val="ListLabel 1"/>
    <w:qFormat/>
    <w:rPr>
      <w:rFonts w:eastAsia="Times New Roman" w:cs="TimesNewRomanPS-BoldMT"/>
      <w:sz w:val="20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rsid w:val="00817c25"/>
    <w:pPr>
      <w:spacing w:lineRule="auto" w:line="240" w:before="0" w:after="0"/>
      <w:jc w:val="both"/>
    </w:pPr>
    <w:rPr>
      <w:rFonts w:ascii="Arial" w:hAnsi="Arial" w:eastAsia="Times New Roman"/>
      <w:sz w:val="24"/>
      <w:szCs w:val="20"/>
      <w:lang w:eastAsia="pl-PL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link w:val="TekstprzypisudolnegoZnak"/>
    <w:uiPriority w:val="99"/>
    <w:semiHidden/>
    <w:qFormat/>
    <w:rsid w:val="00f210c8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uiPriority w:val="99"/>
    <w:qFormat/>
    <w:rsid w:val="00c03f78"/>
    <w:pPr>
      <w:spacing w:lineRule="auto" w:line="240" w:beforeAutospacing="1" w:after="119"/>
    </w:pPr>
    <w:rPr>
      <w:rFonts w:ascii="Times New Roman" w:hAnsi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c03f78"/>
    <w:pPr>
      <w:spacing w:lineRule="auto" w:line="240" w:before="0" w:after="0"/>
      <w:ind w:left="720" w:hanging="0"/>
    </w:pPr>
    <w:rPr>
      <w:rFonts w:ascii="Times New Roman" w:hAnsi="Times New Roman"/>
      <w:sz w:val="24"/>
      <w:szCs w:val="24"/>
      <w:lang w:eastAsia="pl-PL"/>
    </w:rPr>
  </w:style>
  <w:style w:type="paragraph" w:styleId="Gwka">
    <w:name w:val="Header"/>
    <w:basedOn w:val="Normal"/>
    <w:link w:val="NagwekZnak"/>
    <w:uiPriority w:val="99"/>
    <w:rsid w:val="0031589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rsid w:val="0031589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qFormat/>
    <w:rsid w:val="00cb1c88"/>
    <w:pPr>
      <w:spacing w:lineRule="auto" w:line="240"/>
    </w:pPr>
    <w:rPr>
      <w:sz w:val="20"/>
      <w:szCs w:val="20"/>
    </w:rPr>
  </w:style>
  <w:style w:type="paragraph" w:styleId="Wcicietrecitekstu">
    <w:name w:val="Body Text Indent"/>
    <w:basedOn w:val="Normal"/>
    <w:link w:val="TekstpodstawowywcityZnak"/>
    <w:uiPriority w:val="99"/>
    <w:semiHidden/>
    <w:rsid w:val="00817c25"/>
    <w:pPr>
      <w:spacing w:lineRule="auto" w:line="240" w:before="0" w:after="0"/>
      <w:ind w:left="4536" w:hanging="0"/>
    </w:pPr>
    <w:rPr>
      <w:rFonts w:ascii="Arial" w:hAnsi="Arial" w:eastAsia="Times New Roman"/>
      <w:sz w:val="24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d9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3d138e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siatki1jasnaakcent6">
    <w:name w:val="Grid Table 1 Light Accent 6"/>
    <w:basedOn w:val="Standardowy"/>
    <w:uiPriority w:val="46"/>
    <w:rsid w:val="0056140e"/>
    <w:tblPr>
      <w:tblStyleRowBandSize w:val="1"/>
      <w:tblStyleColBandSize w:val="1"/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FABF8F" w:themeColor="accent6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asiatki5ciemnaakcent3">
    <w:name w:val="Grid Table 5 Dark Accent 3"/>
    <w:basedOn w:val="Standardowy"/>
    <w:uiPriority w:val="50"/>
    <w:rsid w:val="00c24d69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elasiatki6kolorowaakcent1">
    <w:name w:val="Grid Table 6 Colorful Accent 1"/>
    <w:basedOn w:val="Standardowy"/>
    <w:uiPriority w:val="51"/>
    <w:rsid w:val="00c24d69"/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siatki5ciemnaakcent5">
    <w:name w:val="Grid Table 5 Dark Accent 5"/>
    <w:basedOn w:val="Standardowy"/>
    <w:uiPriority w:val="50"/>
    <w:rsid w:val="00820a6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asiatki7kolorowaakcent5">
    <w:name w:val="Grid Table 7 Colorful Accent 5"/>
    <w:basedOn w:val="Standardowy"/>
    <w:uiPriority w:val="52"/>
    <w:rsid w:val="00820a6c"/>
    <w:rPr>
      <w:color w:val="31849B" w:themeColor="accent5" w:themeShade="bf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color="92CDDC" w:themeColor="accent5" w:sz="4" w:space="0"/>
        </w:tcBorders>
      </w:tcPr>
    </w:tblStylePr>
    <w:tblStylePr w:type="nwCell">
      <w:tblPr/>
      <w:tcPr>
        <w:tcBorders>
          <w:bottom w:val="single" w:color="92CDDC" w:themeColor="accent5" w:sz="4" w:space="0"/>
        </w:tcBorders>
      </w:tcPr>
    </w:tblStylePr>
    <w:tblStylePr w:type="seCell">
      <w:tblPr/>
      <w:tcPr>
        <w:tcBorders>
          <w:top w:val="single" w:color="92CDDC" w:themeColor="accent5" w:sz="4" w:space="0"/>
        </w:tcBorders>
      </w:tcPr>
    </w:tblStylePr>
    <w:tblStylePr w:type="swCell">
      <w:tblPr/>
      <w:tcPr>
        <w:tcBorders>
          <w:top w:val="single" w:color="92CDDC" w:themeColor="accent5" w:sz="4" w:space="0"/>
        </w:tcBorders>
      </w:tcPr>
    </w:tblStylePr>
  </w:style>
  <w:style w:type="table" w:styleId="Tabelasiatki4akcent1">
    <w:name w:val="Grid Table 4 Accent 1"/>
    <w:basedOn w:val="Standardowy"/>
    <w:uiPriority w:val="49"/>
    <w:rsid w:val="00820a6c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siatki2akcent4">
    <w:name w:val="Grid Table 2 Accent 4"/>
    <w:basedOn w:val="Standardowy"/>
    <w:uiPriority w:val="47"/>
    <w:rsid w:val="00820a6c"/>
    <w:tblPr>
      <w:tblStyleRowBandSize w:val="1"/>
      <w:tblStyleColBandSize w:val="1"/>
      <w:tblBorders>
        <w:top w:val="single" w:color="B2A1C7" w:themeColor="accent4" w:themeTint="99" w:sz="2" w:space="0"/>
        <w:bottom w:val="single" w:color="B2A1C7" w:themeColor="accent4" w:themeTint="99" w:sz="2" w:space="0"/>
        <w:insideH w:val="single" w:color="B2A1C7" w:themeColor="accent4" w:themeTint="99" w:sz="2" w:space="0"/>
        <w:insideV w:val="single" w:color="B2A1C7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A1C7" w:themeColor="accent4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A1C7" w:themeColor="accent4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siatki1jasnaakcent1">
    <w:name w:val="Grid Table 1 Light Accent 1"/>
    <w:basedOn w:val="Standardowy"/>
    <w:uiPriority w:val="46"/>
    <w:rsid w:val="00820a6c"/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alisty7kolorowaakcent1">
    <w:name w:val="List Table 7 Colorful Accent 1"/>
    <w:basedOn w:val="Standardowy"/>
    <w:uiPriority w:val="52"/>
    <w:rsid w:val="00820a6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4F81BD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4F81BD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4F81BD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4F81BD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294376"/>
    <w:rPr>
      <w:color w:val="FFFFFF" w:themeColor="background1"/>
    </w:rPr>
    <w:tblPr>
      <w:tblStyleRowBandSize w:val="1"/>
      <w:tblStyleColBandSize w:val="1"/>
      <w:tblBorders>
        <w:top w:val="single" w:color="4F81BD" w:themeColor="accent1" w:sz="24" w:space="0"/>
        <w:left w:val="single" w:color="4F81BD" w:themeColor="accent1" w:sz="24" w:space="0"/>
        <w:bottom w:val="single" w:color="4F81BD" w:themeColor="accent1" w:sz="24" w:space="0"/>
        <w:right w:val="single" w:color="4F81BD" w:themeColor="accent1" w:sz="24" w:space="0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b96bd2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blPr/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BACC6" w:themeColor="accent5" w:sz="4" w:space="0"/>
          <w:left w:val="nil"/>
        </w:tcBorders>
      </w:tcPr>
    </w:tblStylePr>
    <w:tblStylePr w:type="swCell">
      <w:tblPr/>
      <w:tcPr>
        <w:tcBorders>
          <w:top w:val="double" w:color="4BACC6" w:themeColor="accent5" w:sz="4" w:space="0"/>
          <w:right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chart" Target="charts/chart3.xml"/><Relationship Id="rId5" Type="http://schemas.openxmlformats.org/officeDocument/2006/relationships/chart" Target="charts/chart4.xml"/><Relationship Id="rId6" Type="http://schemas.openxmlformats.org/officeDocument/2006/relationships/chart" Target="charts/chart5.xml"/><Relationship Id="rId7" Type="http://schemas.openxmlformats.org/officeDocument/2006/relationships/chart" Target="charts/chart6.xml"/><Relationship Id="rId8" Type="http://schemas.openxmlformats.org/officeDocument/2006/relationships/footer" Target="footer1.xml"/><Relationship Id="rId9" Type="http://schemas.openxmlformats.org/officeDocument/2006/relationships/footnotes" Target="footnotes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1" sz="1400" spc="-1" strike="noStrike">
                <a:solidFill>
                  <a:srgbClr val="595959"/>
                </a:solidFill>
                <a:latin typeface="Calibri"/>
              </a:rPr>
              <a:t>Przyrost naturalny w Sosnowcu ogółem w latach 2016 - 2023</a:t>
            </a:r>
          </a:p>
        </c:rich>
      </c:tx>
      <c:overlay val="0"/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Urodzenia żywe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8"/>
                <c:pt idx="0">
                  <c:v>1614</c:v>
                </c:pt>
                <c:pt idx="1">
                  <c:v>1632</c:v>
                </c:pt>
                <c:pt idx="2">
                  <c:v>1645</c:v>
                </c:pt>
                <c:pt idx="3">
                  <c:v>1449</c:v>
                </c:pt>
                <c:pt idx="4">
                  <c:v>1360</c:v>
                </c:pt>
                <c:pt idx="5">
                  <c:v>1291</c:v>
                </c:pt>
                <c:pt idx="6">
                  <c:v>1168</c:v>
                </c:pt>
                <c:pt idx="7">
                  <c:v>1001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Zgony ogółem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8"/>
                <c:pt idx="0">
                  <c:v>2572</c:v>
                </c:pt>
                <c:pt idx="1">
                  <c:v>2622</c:v>
                </c:pt>
                <c:pt idx="2">
                  <c:v>2596</c:v>
                </c:pt>
                <c:pt idx="3">
                  <c:v>2611</c:v>
                </c:pt>
                <c:pt idx="4">
                  <c:v>2895</c:v>
                </c:pt>
                <c:pt idx="5">
                  <c:v>3393</c:v>
                </c:pt>
                <c:pt idx="6">
                  <c:v>2947</c:v>
                </c:pt>
                <c:pt idx="7">
                  <c:v>2573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Przyrost naturalny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8"/>
                <c:pt idx="0">
                  <c:v>-958</c:v>
                </c:pt>
                <c:pt idx="1">
                  <c:v>-990</c:v>
                </c:pt>
                <c:pt idx="2">
                  <c:v>-951</c:v>
                </c:pt>
                <c:pt idx="3">
                  <c:v>-1162</c:v>
                </c:pt>
                <c:pt idx="4">
                  <c:v>-1535</c:v>
                </c:pt>
                <c:pt idx="5">
                  <c:v>-2102</c:v>
                </c:pt>
                <c:pt idx="6">
                  <c:v>-1779</c:v>
                </c:pt>
                <c:pt idx="7">
                  <c:v>-1572</c:v>
                </c:pt>
              </c:numCache>
            </c:numRef>
          </c:val>
        </c:ser>
        <c:gapWidth val="100"/>
        <c:overlap val="-24"/>
        <c:axId val="1030247"/>
        <c:axId val="62236927"/>
      </c:barChart>
      <c:catAx>
        <c:axId val="1030247"/>
        <c:scaling>
          <c:orientation val="minMax"/>
        </c:scaling>
        <c:delete val="0"/>
        <c:axPos val="b"/>
        <c:numFmt formatCode="MM/D/YYYY" sourceLinked="1"/>
        <c:majorTickMark val="none"/>
        <c:minorTickMark val="none"/>
        <c:tickLblPos val="nextTo"/>
        <c:spPr>
          <a:ln w="12600">
            <a:solidFill>
              <a:srgbClr val="d9d9d9"/>
            </a:solidFill>
            <a:round/>
          </a:ln>
        </c:spPr>
        <c:txPr>
          <a:bodyPr/>
          <a:p>
            <a:pPr>
              <a:defRPr b="1" i="1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62236927"/>
        <c:crosses val="autoZero"/>
        <c:auto val="1"/>
        <c:lblAlgn val="ctr"/>
        <c:lblOffset val="100"/>
      </c:catAx>
      <c:valAx>
        <c:axId val="62236927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#,##0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1030247"/>
        <c:crosses val="autoZero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350" spc="-1" strike="noStrike">
                <a:solidFill>
                  <a:srgbClr val="595959"/>
                </a:solidFill>
                <a:latin typeface="Calibri"/>
              </a:defRPr>
            </a:pPr>
            <a:r>
              <a:rPr b="1" sz="1350" spc="-1" strike="noStrike">
                <a:solidFill>
                  <a:srgbClr val="595959"/>
                </a:solidFill>
                <a:latin typeface="Calibri"/>
              </a:rPr>
              <a:t>Przyrost naturalny w Sosnowcu na 1000 ludności 2016 - 2023</a:t>
            </a:r>
          </a:p>
        </c:rich>
      </c:tx>
      <c:overlay val="0"/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urodzenia żywe na 1000 ludności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8"/>
                <c:pt idx="0">
                  <c:v>7.82</c:v>
                </c:pt>
                <c:pt idx="1">
                  <c:v>7.96</c:v>
                </c:pt>
                <c:pt idx="2">
                  <c:v>8.1</c:v>
                </c:pt>
                <c:pt idx="3">
                  <c:v>7.2</c:v>
                </c:pt>
                <c:pt idx="4">
                  <c:v>6.94</c:v>
                </c:pt>
                <c:pt idx="5">
                  <c:v>6.69</c:v>
                </c:pt>
                <c:pt idx="6">
                  <c:v>6.13</c:v>
                </c:pt>
                <c:pt idx="7">
                  <c:v>5.32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zgony na 1000 ludności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8"/>
                <c:pt idx="0">
                  <c:v>12.45</c:v>
                </c:pt>
                <c:pt idx="1">
                  <c:v>12.79</c:v>
                </c:pt>
                <c:pt idx="2">
                  <c:v>12.78</c:v>
                </c:pt>
                <c:pt idx="3">
                  <c:v>12.98</c:v>
                </c:pt>
                <c:pt idx="4">
                  <c:v>14.78</c:v>
                </c:pt>
                <c:pt idx="5">
                  <c:v>17.6</c:v>
                </c:pt>
                <c:pt idx="6">
                  <c:v>15.48</c:v>
                </c:pt>
                <c:pt idx="7">
                  <c:v>13.68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przyrost naturalny na 1000 ludności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8"/>
                <c:pt idx="0">
                  <c:v>-4.64</c:v>
                </c:pt>
                <c:pt idx="1">
                  <c:v>-4.83</c:v>
                </c:pt>
                <c:pt idx="2">
                  <c:v>-4.68</c:v>
                </c:pt>
                <c:pt idx="3">
                  <c:v>-5.78</c:v>
                </c:pt>
                <c:pt idx="4">
                  <c:v>-7.84</c:v>
                </c:pt>
                <c:pt idx="5">
                  <c:v>-10.9</c:v>
                </c:pt>
                <c:pt idx="6">
                  <c:v>-9.34</c:v>
                </c:pt>
                <c:pt idx="7">
                  <c:v>-8.35</c:v>
                </c:pt>
              </c:numCache>
            </c:numRef>
          </c:val>
        </c:ser>
        <c:gapWidth val="100"/>
        <c:overlap val="-24"/>
        <c:axId val="43134474"/>
        <c:axId val="58074445"/>
      </c:barChart>
      <c:catAx>
        <c:axId val="43134474"/>
        <c:scaling>
          <c:orientation val="minMax"/>
        </c:scaling>
        <c:delete val="0"/>
        <c:axPos val="b"/>
        <c:numFmt formatCode="MM/D/YYYY" sourceLinked="1"/>
        <c:majorTickMark val="none"/>
        <c:minorTickMark val="none"/>
        <c:tickLblPos val="nextTo"/>
        <c:spPr>
          <a:ln w="12600">
            <a:solidFill>
              <a:srgbClr val="d9d9d9"/>
            </a:solidFill>
            <a:round/>
          </a:ln>
        </c:spPr>
        <c:txPr>
          <a:bodyPr/>
          <a:p>
            <a:pPr>
              <a:defRPr b="1" i="1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58074445"/>
        <c:crosses val="autoZero"/>
        <c:auto val="1"/>
        <c:lblAlgn val="ctr"/>
        <c:lblOffset val="100"/>
      </c:catAx>
      <c:valAx>
        <c:axId val="58074445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#,##0.00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43134474"/>
        <c:crosses val="autoZero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600" spc="-1" strike="noStrike">
                <a:solidFill>
                  <a:srgbClr val="595959"/>
                </a:solidFill>
                <a:latin typeface="Calibri"/>
              </a:defRPr>
            </a:pPr>
            <a:r>
              <a:rPr b="1" sz="1600" spc="-1" strike="noStrike">
                <a:solidFill>
                  <a:srgbClr val="595959"/>
                </a:solidFill>
                <a:latin typeface="Calibri"/>
              </a:rPr>
              <a:t>Liczba mieszkańców Sosnowca w latach 2016-2023</a:t>
            </a:r>
          </a:p>
        </c:rich>
      </c:tx>
      <c:overlay val="0"/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Liczba ludności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8"/>
                <c:pt idx="0">
                  <c:v>205873</c:v>
                </c:pt>
                <c:pt idx="1">
                  <c:v>204013</c:v>
                </c:pt>
                <c:pt idx="2">
                  <c:v>202036</c:v>
                </c:pt>
                <c:pt idx="3">
                  <c:v>199974</c:v>
                </c:pt>
                <c:pt idx="4">
                  <c:v>194438</c:v>
                </c:pt>
                <c:pt idx="5">
                  <c:v>191676</c:v>
                </c:pt>
                <c:pt idx="6">
                  <c:v>189178</c:v>
                </c:pt>
                <c:pt idx="7">
                  <c:v>187115</c:v>
                </c:pt>
              </c:numCache>
            </c:numRef>
          </c:val>
        </c:ser>
        <c:gapWidth val="100"/>
        <c:overlap val="-24"/>
        <c:axId val="46306188"/>
        <c:axId val="85085934"/>
      </c:barChart>
      <c:catAx>
        <c:axId val="46306188"/>
        <c:scaling>
          <c:orientation val="minMax"/>
        </c:scaling>
        <c:delete val="0"/>
        <c:axPos val="b"/>
        <c:numFmt formatCode="MM/D/YYYY" sourceLinked="1"/>
        <c:majorTickMark val="none"/>
        <c:minorTickMark val="none"/>
        <c:tickLblPos val="nextTo"/>
        <c:spPr>
          <a:ln w="12600">
            <a:solidFill>
              <a:srgbClr val="d9d9d9"/>
            </a:solidFill>
            <a:round/>
          </a:ln>
        </c:spPr>
        <c:txPr>
          <a:bodyPr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85085934"/>
        <c:crosses val="autoZero"/>
        <c:auto val="1"/>
        <c:lblAlgn val="ctr"/>
        <c:lblOffset val="100"/>
      </c:catAx>
      <c:valAx>
        <c:axId val="85085934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#,##0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46306188"/>
        <c:crosses val="autoZero"/>
      </c:valAx>
      <c:spPr>
        <a:noFill/>
        <a:ln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Saldo migracji w Sosnowcu w latach 2016-2023</a:t>
            </a:r>
          </a:p>
        </c:rich>
      </c:tx>
      <c:overlay val="0"/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saldo migracji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8"/>
                <c:pt idx="0">
                  <c:v>-709</c:v>
                </c:pt>
                <c:pt idx="1">
                  <c:v>-694</c:v>
                </c:pt>
                <c:pt idx="2">
                  <c:v>-858</c:v>
                </c:pt>
                <c:pt idx="3">
                  <c:v>-810</c:v>
                </c:pt>
                <c:pt idx="4">
                  <c:v>-743</c:v>
                </c:pt>
                <c:pt idx="5">
                  <c:v>-906</c:v>
                </c:pt>
                <c:pt idx="6">
                  <c:v>-649</c:v>
                </c:pt>
                <c:pt idx="7">
                  <c:v>-533</c:v>
                </c:pt>
              </c:numCache>
            </c:numRef>
          </c:val>
        </c:ser>
        <c:gapWidth val="100"/>
        <c:overlap val="-24"/>
        <c:axId val="97493173"/>
        <c:axId val="92428824"/>
      </c:barChart>
      <c:catAx>
        <c:axId val="97493173"/>
        <c:scaling>
          <c:orientation val="minMax"/>
        </c:scaling>
        <c:delete val="0"/>
        <c:axPos val="b"/>
        <c:numFmt formatCode="MM/D/YYYY" sourceLinked="1"/>
        <c:majorTickMark val="none"/>
        <c:minorTickMark val="none"/>
        <c:tickLblPos val="high"/>
        <c:spPr>
          <a:ln w="12600">
            <a:solidFill>
              <a:srgbClr val="d9d9d9"/>
            </a:solidFill>
            <a:round/>
          </a:ln>
        </c:spPr>
        <c:txPr>
          <a:bodyPr/>
          <a:p>
            <a:pPr>
              <a:defRPr b="1" i="1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92428824"/>
        <c:crosses val="autoZero"/>
        <c:auto val="1"/>
        <c:lblAlgn val="ctr"/>
        <c:lblOffset val="100"/>
      </c:catAx>
      <c:valAx>
        <c:axId val="92428824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#,##0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97493173"/>
        <c:crosses val="autoZero"/>
      </c:valAx>
      <c:spPr>
        <a:noFill/>
        <a:ln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Saldo migracji na 1000 ludności w latach 2016-2023</a:t>
            </a:r>
          </a:p>
        </c:rich>
      </c:tx>
      <c:overlay val="0"/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saldo migracji na 1000 ludności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8"/>
                <c:pt idx="0">
                  <c:v>-3.4</c:v>
                </c:pt>
                <c:pt idx="1">
                  <c:v>-3.4</c:v>
                </c:pt>
                <c:pt idx="2">
                  <c:v>-4.2</c:v>
                </c:pt>
                <c:pt idx="3">
                  <c:v>-4</c:v>
                </c:pt>
                <c:pt idx="4">
                  <c:v>-3.8</c:v>
                </c:pt>
                <c:pt idx="5">
                  <c:v>-4.7</c:v>
                </c:pt>
                <c:pt idx="6">
                  <c:v>-3.4</c:v>
                </c:pt>
                <c:pt idx="7">
                  <c:v>-2.8</c:v>
                </c:pt>
              </c:numCache>
            </c:numRef>
          </c:val>
        </c:ser>
        <c:gapWidth val="100"/>
        <c:overlap val="-24"/>
        <c:axId val="57059727"/>
        <c:axId val="7275344"/>
      </c:barChart>
      <c:catAx>
        <c:axId val="57059727"/>
        <c:scaling>
          <c:orientation val="minMax"/>
        </c:scaling>
        <c:delete val="0"/>
        <c:axPos val="b"/>
        <c:numFmt formatCode="MM/D/YYYY" sourceLinked="1"/>
        <c:majorTickMark val="none"/>
        <c:minorTickMark val="none"/>
        <c:tickLblPos val="high"/>
        <c:spPr>
          <a:ln w="12600">
            <a:solidFill>
              <a:srgbClr val="d9d9d9"/>
            </a:solidFill>
            <a:round/>
          </a:ln>
        </c:spPr>
        <c:txPr>
          <a:bodyPr/>
          <a:p>
            <a:pPr>
              <a:defRPr b="1" i="1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7275344"/>
        <c:crosses val="autoZero"/>
        <c:auto val="1"/>
        <c:lblAlgn val="ctr"/>
        <c:lblOffset val="100"/>
      </c:catAx>
      <c:valAx>
        <c:axId val="7275344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#\ ##0.0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57059727"/>
        <c:crosses val="autoZero"/>
      </c:valAx>
      <c:spPr>
        <a:noFill/>
        <a:ln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1" sz="1400" spc="-1" strike="noStrike">
                <a:solidFill>
                  <a:srgbClr val="595959"/>
                </a:solidFill>
                <a:latin typeface="Calibri"/>
              </a:rPr>
              <a:t>Udział ludności Sosnowca wg ekonomicznych grup wieku w latach 2016 - 2023</a:t>
            </a:r>
          </a:p>
        </c:rich>
      </c:tx>
      <c:overlay val="0"/>
    </c:title>
    <c:autoTitleDeleted val="0"/>
    <c:plotArea>
      <c:barChart>
        <c:barDir val="col"/>
        <c:grouping val="stack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Ludność w wieku przedprodukcyjnym w %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8"/>
                <c:pt idx="0">
                  <c:v>14.3</c:v>
                </c:pt>
                <c:pt idx="1">
                  <c:v>14.4</c:v>
                </c:pt>
                <c:pt idx="2">
                  <c:v>14.5</c:v>
                </c:pt>
                <c:pt idx="3">
                  <c:v>14.5</c:v>
                </c:pt>
                <c:pt idx="4">
                  <c:v>14.4</c:v>
                </c:pt>
                <c:pt idx="5">
                  <c:v>14.5</c:v>
                </c:pt>
                <c:pt idx="6">
                  <c:v>14.5</c:v>
                </c:pt>
                <c:pt idx="7">
                  <c:v>14.4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Ludność w wieku produkcyjnym w %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8"/>
                <c:pt idx="0">
                  <c:v>60.8</c:v>
                </c:pt>
                <c:pt idx="1">
                  <c:v>59.7</c:v>
                </c:pt>
                <c:pt idx="2">
                  <c:v>58.5</c:v>
                </c:pt>
                <c:pt idx="3">
                  <c:v>57.7</c:v>
                </c:pt>
                <c:pt idx="4">
                  <c:v>57.2</c:v>
                </c:pt>
                <c:pt idx="5">
                  <c:v>56.6</c:v>
                </c:pt>
                <c:pt idx="6">
                  <c:v>56.3</c:v>
                </c:pt>
                <c:pt idx="7">
                  <c:v>55.9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Ludność w wieku poprodukcyjnym w %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8"/>
                <c:pt idx="0">
                  <c:v>24.9</c:v>
                </c:pt>
                <c:pt idx="1">
                  <c:v>26</c:v>
                </c:pt>
                <c:pt idx="2">
                  <c:v>27</c:v>
                </c:pt>
                <c:pt idx="3">
                  <c:v>27.8</c:v>
                </c:pt>
                <c:pt idx="4">
                  <c:v>28.4</c:v>
                </c:pt>
                <c:pt idx="5">
                  <c:v>28.8</c:v>
                </c:pt>
                <c:pt idx="6">
                  <c:v>29.2</c:v>
                </c:pt>
                <c:pt idx="7">
                  <c:v>29.7</c:v>
                </c:pt>
              </c:numCache>
            </c:numRef>
          </c:val>
        </c:ser>
        <c:gapWidth val="150"/>
        <c:overlap val="100"/>
        <c:axId val="47271308"/>
        <c:axId val="96008760"/>
      </c:barChart>
      <c:catAx>
        <c:axId val="47271308"/>
        <c:scaling>
          <c:orientation val="minMax"/>
        </c:scaling>
        <c:delete val="0"/>
        <c:axPos val="b"/>
        <c:numFmt formatCode="MM/D/YYYY" sourceLinked="1"/>
        <c:majorTickMark val="none"/>
        <c:minorTickMark val="none"/>
        <c:tickLblPos val="nextTo"/>
        <c:spPr>
          <a:ln w="12600">
            <a:solidFill>
              <a:srgbClr val="d9d9d9"/>
            </a:solidFill>
            <a:round/>
          </a:ln>
        </c:spPr>
        <c:txPr>
          <a:bodyPr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96008760"/>
        <c:crosses val="autoZero"/>
        <c:auto val="1"/>
        <c:lblAlgn val="ctr"/>
        <c:lblOffset val="100"/>
      </c:catAx>
      <c:valAx>
        <c:axId val="96008760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#\ ##0.0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47271308"/>
        <c:crosses val="autoZero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8FDAC-13EB-4BC8-BABA-83CC64BD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LibreOffice/5.4.1.2$Windows_x86 LibreOffice_project/ea7cb86e6eeb2bf3a5af73a8f7777ac570321527</Application>
  <Pages>6</Pages>
  <Words>1234</Words>
  <Characters>7120</Characters>
  <CharactersWithSpaces>8129</CharactersWithSpaces>
  <Paragraphs>273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2024-09-17T09:14:00Z</dcterms:created>
  <dc:creator>UM</dc:creator>
  <dc:description/>
  <dc:language>pl-PL</dc:language>
  <cp:lastModifiedBy>Tomek S</cp:lastModifiedBy>
  <cp:lastPrinted>2024-09-17T09:47:00Z</cp:lastPrinted>
  <dcterms:modified xsi:type="dcterms:W3CDTF">2024-09-17T09:55:00Z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