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KOMISJA KULTURY, SPORTU I REKREACJI</w:t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- OPINIOWANIE PROJEKTU BUDŻETU NA 2025 ROK</w:t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Dział 921 - Kultura i ochrona dziedzictwa narodowego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Budżet kultury na 2025 zaplanowano na poziomie </w:t>
      </w:r>
      <w:r>
        <w:rPr>
          <w:b/>
        </w:rPr>
        <w:t>40 402 940,45 zł</w:t>
      </w:r>
      <w:r>
        <w:rPr/>
        <w:t xml:space="preserve">. W ramach tej kwoty na wydatki bieżące zabezpieczono </w:t>
      </w:r>
      <w:r>
        <w:rPr>
          <w:b/>
        </w:rPr>
        <w:t xml:space="preserve">36 845 813,65 zł, </w:t>
      </w:r>
      <w:r>
        <w:rPr/>
        <w:t xml:space="preserve">a majątkowe </w:t>
      </w:r>
      <w:r>
        <w:rPr>
          <w:b/>
        </w:rPr>
        <w:t xml:space="preserve">3 557 126,80 </w:t>
      </w:r>
      <w:r>
        <w:rPr>
          <w:rFonts w:cs="Times New Roman"/>
          <w:b/>
        </w:rPr>
        <w:t xml:space="preserve">zł. </w:t>
      </w:r>
    </w:p>
    <w:p>
      <w:pPr>
        <w:pStyle w:val="Normal"/>
        <w:spacing w:lineRule="auto" w:line="360"/>
        <w:ind w:firstLine="284"/>
        <w:jc w:val="both"/>
        <w:rPr/>
      </w:pPr>
      <w:r>
        <w:rPr/>
        <w:t xml:space="preserve">Największą pozycją w planie wydatków kultury są oczywiście dotacje podmiotowe dla instytucji kultury. Na 2025 rok zabezpieczono na rzecz instytucji kultury kwotę ponad </w:t>
      </w:r>
      <w:r>
        <w:rPr>
          <w:b/>
        </w:rPr>
        <w:t>35 mln zł</w:t>
      </w:r>
      <w:r>
        <w:rPr/>
        <w:t xml:space="preserve">, co oznacza wzrost w stosunku do bieżącego roku o ponad 1 mln zł. </w:t>
      </w:r>
    </w:p>
    <w:tbl>
      <w:tblPr>
        <w:tblStyle w:val="Tabela-Siatka"/>
        <w:tblW w:w="49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5195"/>
        <w:gridCol w:w="1686"/>
        <w:gridCol w:w="1676"/>
      </w:tblGrid>
      <w:tr>
        <w:trPr>
          <w:trHeight w:val="20" w:hRule="atLeast"/>
        </w:trPr>
        <w:tc>
          <w:tcPr>
            <w:tcW w:w="561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DOTACJE PODMIOTOWE</w:t>
            </w:r>
          </w:p>
        </w:tc>
        <w:tc>
          <w:tcPr>
            <w:tcW w:w="3362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7" w:hRule="atLeast"/>
        </w:trPr>
        <w:tc>
          <w:tcPr>
            <w:tcW w:w="5618" w:type="dxa"/>
            <w:gridSpan w:val="2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86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 po zmianach 2024</w:t>
            </w:r>
          </w:p>
        </w:tc>
        <w:tc>
          <w:tcPr>
            <w:tcW w:w="1676" w:type="dxa"/>
            <w:tcBorders/>
            <w:shd w:color="auto" w:fill="DBE5F1" w:themeFill="accen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Projekt 2025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Teatr Zagłębia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8 086 000,00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7 797 219,50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Miejski Klub im. Jana Kiepury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6 860 000,00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7 064 592,34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Sosnowieckie Centrum Sztuki- Zamek Sielecki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2 337 708,00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2 531 324,15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Miejska Biblioteka Publiczna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10 910 106,76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11 715 577,15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Muzeum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2 624 565,68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2 816 040,18</w:t>
            </w:r>
          </w:p>
        </w:tc>
      </w:tr>
      <w:tr>
        <w:trPr>
          <w:trHeight w:val="20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Przystanek Otwartej Kultury”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3 141 913,55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3 211 560,33</w:t>
            </w:r>
          </w:p>
        </w:tc>
      </w:tr>
      <w:tr>
        <w:trPr>
          <w:trHeight w:val="358" w:hRule="atLeast"/>
        </w:trPr>
        <w:tc>
          <w:tcPr>
            <w:tcW w:w="4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8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33 960 293,99</w:t>
            </w:r>
          </w:p>
        </w:tc>
        <w:tc>
          <w:tcPr>
            <w:tcW w:w="1676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35 136 313,65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  <w:bCs/>
        </w:rPr>
      </w:pPr>
      <w:r>
        <w:rPr/>
        <w:t xml:space="preserve">Na wsparcie w formie dotacji dla stowarzyszeń i fundacji działających w obszarze kultury zaplanowano na poziomie </w:t>
      </w:r>
      <w:r>
        <w:rPr>
          <w:b/>
        </w:rPr>
        <w:t>300 000,00 zł</w:t>
      </w:r>
      <w:r>
        <w:rPr/>
        <w:t xml:space="preserve">. Na stypendia artystyczne i twórcze przeznaczono kwotę </w:t>
      </w:r>
      <w:r>
        <w:rPr>
          <w:b/>
        </w:rPr>
        <w:t>102 000,00 zł</w:t>
      </w:r>
      <w:r>
        <w:rPr/>
        <w:t xml:space="preserve">. Koszt organizacji imprez oraz wykonania tablic pamiątkowych prognozuje się na </w:t>
      </w:r>
      <w:r>
        <w:rPr>
          <w:b/>
          <w:bCs/>
        </w:rPr>
        <w:t xml:space="preserve">300 000,00 zł. </w:t>
      </w:r>
      <w:r>
        <w:rPr/>
        <w:t>Na prace konserwatorskie zabezpieczono</w:t>
      </w:r>
      <w:r>
        <w:rPr>
          <w:b/>
          <w:bCs/>
        </w:rPr>
        <w:t xml:space="preserve"> 350 000,00 zł. 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Dodatkowo, w ramach projektów wyłonionych w </w:t>
      </w:r>
      <w:r>
        <w:rPr>
          <w:b/>
        </w:rPr>
        <w:t>kolejnej edycji Budżetu Obywatelskiego</w:t>
      </w:r>
      <w:r>
        <w:rPr/>
        <w:t>, zaplanowano wydatki bieżące w łącznej kwocie 630 000,00 zł.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Wydatki inwestycyjne zabezpieczono </w:t>
      </w:r>
      <w:r>
        <w:rPr>
          <w:b/>
        </w:rPr>
        <w:t>w kwocie  3 557 126,80 zł,</w:t>
      </w:r>
      <w:r>
        <w:rPr/>
        <w:t xml:space="preserve"> z przeznaczeniem m.in. na realizację zadań: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"Rozbudowa Teatru Zagłębia w Sosnowcu, przy ul. Teatralnej 4” (niespełna 868 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"Zamek Sielecki w Sosnowcu - roboty budowlane na obiekcie zabytkowym" (ponad 312 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"Montaż dwóch rzeźb w Al. Zagłębiaka" (100 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"Modernizacja i przebudowa drzwi w Pałacu Schoena" (30 tys. zł).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Ponadto, zabezpieczono środki  na realizację zadań, w ramach </w:t>
      </w:r>
      <w:r>
        <w:rPr>
          <w:b/>
          <w:i/>
        </w:rPr>
        <w:t>Rządowego Programu Odbudowy Zabytków w łącznej kwocie 2 247 198,50 zł,</w:t>
      </w:r>
      <w:r>
        <w:rPr/>
        <w:t xml:space="preserve"> z przeznaczeniem na: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- "Konserwację i rekonstrukcję posadzki, wymianę instalacji elektrycznej oraz konserwację </w:t>
        <w:br/>
        <w:t>i wzmocnienie więźby dachowej w Kościele p.w. Św. Jana Chrzciciela" – 1 714 078,50 zł;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- "Konserwację zabytkowej elewacji Cerkwi P.W. Śww. Wiery, Nadziei, Luby i Matki Zofii </w:t>
        <w:br/>
        <w:t>w Sosnowcu" – 343 000,00 zł;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"Naprawę oraz malowanie ścian transeptów wysokich (lewa i prawa strona) w Kościele p.w. Niepokalanego Poczęcia NMP w Sosnowcu" – 190 120,00 zł.</w:t>
      </w:r>
    </w:p>
    <w:p>
      <w:pPr>
        <w:pStyle w:val="Normal"/>
        <w:spacing w:lineRule="auto" w:line="360" w:before="0" w:after="0"/>
        <w:ind w:firstLine="284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Dział 926 - Kultura fizyczna</w:t>
      </w:r>
    </w:p>
    <w:p>
      <w:pPr>
        <w:pStyle w:val="Normal"/>
        <w:spacing w:lineRule="auto" w:line="360"/>
        <w:ind w:firstLine="284"/>
        <w:jc w:val="both"/>
        <w:rPr>
          <w:b/>
          <w:b/>
        </w:rPr>
      </w:pPr>
      <w:r>
        <w:rPr/>
        <w:t xml:space="preserve">Na wydatki w obszarze sportu, czyli wydatki związane z utrzymaniem obiektów sportowych </w:t>
        <w:br/>
        <w:t xml:space="preserve">oraz organizację imprez sportowych i rekreacyjnych, zaplanowano w 2025 r. kwotę </w:t>
      </w:r>
      <w:r>
        <w:rPr>
          <w:b/>
        </w:rPr>
        <w:t>91 088 377,47 zł.</w:t>
      </w:r>
      <w:r>
        <w:rPr/>
        <w:t xml:space="preserve">    </w:t>
        <w:br/>
        <w:t xml:space="preserve">W ramach tej kwoty na wydatki bieżące zabezpieczono kwotę około </w:t>
      </w:r>
      <w:r>
        <w:rPr>
          <w:b/>
        </w:rPr>
        <w:t>51,7 mln zł,</w:t>
      </w:r>
      <w:r>
        <w:rPr/>
        <w:t xml:space="preserve"> a na wydatki majątkowe ponad </w:t>
      </w:r>
      <w:r>
        <w:rPr>
          <w:b/>
          <w:bCs/>
        </w:rPr>
        <w:t>39,4</w:t>
      </w:r>
      <w:r>
        <w:rPr>
          <w:b/>
        </w:rPr>
        <w:t xml:space="preserve"> mln zł. 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W ramach wydatków bieżących, najwięcej środków zaplanowano na działalność Miejskiego Ośrodka Sportu i Rekreacji - plan będzie wynosić ponad </w:t>
      </w:r>
      <w:r>
        <w:rPr>
          <w:b/>
        </w:rPr>
        <w:t>39,6 mln zł</w:t>
      </w:r>
      <w:r>
        <w:rPr/>
        <w:t>.</w:t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</w:rPr>
      </w:pPr>
      <w:r>
        <w:rPr/>
        <w:t xml:space="preserve">Ponadto, zabezpieczono środki na pokrycie kosztów związanych z utrzymaniem obiektów sportowych pozostających w dyspozycji jednostek oświatowych, tj. boisk szkolnych wybudowanych </w:t>
        <w:br/>
        <w:t xml:space="preserve">w ramach programu „Boisko Orlik 2012” w kwocie </w:t>
      </w:r>
      <w:r>
        <w:rPr>
          <w:b/>
        </w:rPr>
        <w:t>blisko 3,3 mln zł.</w:t>
      </w:r>
      <w:r>
        <w:rPr/>
        <w:t xml:space="preserve"> W planie wydatków 2025 roku ujęto także środki na dotacje dla stowarzyszeń i fundacji na rozwój kultury fizycznej w mieście </w:t>
        <w:br/>
        <w:t xml:space="preserve">w wysokości </w:t>
      </w:r>
      <w:r>
        <w:rPr>
          <w:b/>
        </w:rPr>
        <w:t>ponad 4,7 mln zł</w:t>
      </w:r>
      <w:r>
        <w:rPr/>
        <w:t>, jak również środki na stypendia sportowe (</w:t>
      </w:r>
      <w:r>
        <w:rPr>
          <w:b/>
        </w:rPr>
        <w:t>600 tys. zł)</w:t>
      </w:r>
      <w:r>
        <w:rPr/>
        <w:t xml:space="preserve"> oraz nagrody konkursowe </w:t>
      </w:r>
      <w:r>
        <w:rPr>
          <w:b/>
        </w:rPr>
        <w:t>(105 tys. zł).</w:t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spacing w:lineRule="auto" w:line="360"/>
        <w:ind w:firstLine="284"/>
        <w:jc w:val="both"/>
        <w:rPr>
          <w:b/>
          <w:b/>
        </w:rPr>
      </w:pPr>
      <w:r>
        <w:rPr/>
        <w:t xml:space="preserve">Wydatki inwestycyjne to przede wszystkim kontynuacja robót budowlanych w ramach „Budowy boiska o nawierzchni z trawy syntetycznej wraz zadaszeniem na terenie kompleksu Rekreacyjno - Sportowego przy ul. Hubala – Dobrzańskiego 99D w Sosnowcu” </w:t>
      </w:r>
      <w:r>
        <w:rPr>
          <w:b/>
        </w:rPr>
        <w:t xml:space="preserve">(7,6 mln zł), </w:t>
      </w:r>
      <w:r>
        <w:rPr/>
        <w:t xml:space="preserve">podwyższenie kapitału spółki „Zagłębiowski Park Sportowy” </w:t>
      </w:r>
      <w:r>
        <w:rPr>
          <w:b/>
        </w:rPr>
        <w:t>(23,6 mln zł)</w:t>
      </w:r>
      <w:r>
        <w:rPr/>
        <w:t xml:space="preserve">, objęcie akcji spółki „Zagłębie S.A” </w:t>
      </w:r>
      <w:r>
        <w:rPr>
          <w:b/>
        </w:rPr>
        <w:t xml:space="preserve">(2,8 mln zł) </w:t>
      </w:r>
      <w:r>
        <w:rPr>
          <w:bCs/>
        </w:rPr>
        <w:t>oraz</w:t>
      </w:r>
      <w:r>
        <w:rPr>
          <w:b/>
        </w:rPr>
        <w:t xml:space="preserve"> </w:t>
      </w:r>
      <w:r>
        <w:rPr>
          <w:bCs/>
        </w:rPr>
        <w:t>akcji spółki Zagłębie Sosnowiec Sp. z o.o.</w:t>
      </w:r>
      <w:r>
        <w:rPr>
          <w:b/>
        </w:rPr>
        <w:t xml:space="preserve"> (1,05 mln zł).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Dodatkowo, w ramach projektów wyłonionych w </w:t>
      </w:r>
      <w:r>
        <w:rPr>
          <w:b/>
        </w:rPr>
        <w:t>kolejnej edycji Budżetu Obywatelskiego</w:t>
      </w:r>
      <w:r>
        <w:rPr/>
        <w:t xml:space="preserve"> zaplanowano szereg zadań inwestycyjnych na łączną kwotę </w:t>
      </w:r>
      <w:r>
        <w:rPr>
          <w:b/>
        </w:rPr>
        <w:t>ponad 3,77 mln zł,</w:t>
      </w:r>
      <w:r>
        <w:rPr/>
        <w:t xml:space="preserve"> m.in.:</w:t>
      </w:r>
    </w:p>
    <w:p>
      <w:pPr>
        <w:pStyle w:val="Normal"/>
        <w:spacing w:lineRule="auto" w:line="360" w:before="0" w:after="0"/>
        <w:jc w:val="both"/>
        <w:rPr/>
      </w:pPr>
      <w:r>
        <w:rPr/>
        <w:t>- "Strefa relaksu pod chmurką przy Szkole Podstawowej nr 15 w Sosnowcu (BO25/O/3)" w kwocie 800 000,00 zł;</w:t>
      </w:r>
    </w:p>
    <w:p>
      <w:pPr>
        <w:pStyle w:val="Normal"/>
        <w:spacing w:lineRule="auto" w:line="360" w:before="0" w:after="0"/>
        <w:jc w:val="both"/>
        <w:rPr/>
      </w:pPr>
      <w:r>
        <w:rPr/>
        <w:t>- "Modernizacja boiska ogólnodostępnego przy ZSO nr 14 przy ul. Kisielewskiego 4b (BO25/O/18)" w kwocie 700 000,00 zł;</w:t>
      </w:r>
    </w:p>
    <w:p>
      <w:pPr>
        <w:pStyle w:val="Normal"/>
        <w:spacing w:lineRule="auto" w:line="360" w:before="0" w:after="0"/>
        <w:jc w:val="both"/>
        <w:rPr/>
      </w:pPr>
      <w:r>
        <w:rPr/>
        <w:t>- "Zielonogórska Strefa Rekreacji (BO25/III/10,21)" w kwocie 700 000,00 zł.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b1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31f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31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2b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LibreOffice/5.4.1.2$Windows_x86 LibreOffice_project/ea7cb86e6eeb2bf3a5af73a8f7777ac570321527</Application>
  <Pages>3</Pages>
  <Words>662</Words>
  <Characters>3666</Characters>
  <CharactersWithSpaces>4292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2022-11-14T08:33:00Z</dcterms:created>
  <dc:creator>BASIA</dc:creator>
  <dc:description/>
  <dc:language>pl-PL</dc:language>
  <cp:lastModifiedBy>kgromadko</cp:lastModifiedBy>
  <cp:lastPrinted>2023-11-13T12:15:00Z</cp:lastPrinted>
  <dcterms:modified xsi:type="dcterms:W3CDTF">2024-11-15T08:18:00Z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